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heme="minorHAnsi" w:cs="Arial"/>
          <w:b w:val="0"/>
          <w:bCs w:val="0"/>
          <w:sz w:val="22"/>
          <w:szCs w:val="22"/>
          <w:lang w:eastAsia="en-US"/>
        </w:rPr>
        <w:id w:val="429704378"/>
        <w:docPartObj>
          <w:docPartGallery w:val="Table of Contents"/>
          <w:docPartUnique/>
        </w:docPartObj>
      </w:sdtPr>
      <w:sdtEndPr>
        <w:rPr>
          <w:sz w:val="20"/>
        </w:rPr>
      </w:sdtEndPr>
      <w:sdtContent>
        <w:p w:rsidR="00117A31" w:rsidRPr="00983DF0" w:rsidRDefault="00117A31" w:rsidP="00B763CD">
          <w:pPr>
            <w:pStyle w:val="Overskrift"/>
            <w:tabs>
              <w:tab w:val="left" w:pos="2642"/>
            </w:tabs>
            <w:rPr>
              <w:rFonts w:cs="Arial"/>
            </w:rPr>
          </w:pPr>
          <w:r w:rsidRPr="00983DF0">
            <w:rPr>
              <w:rFonts w:cs="Arial"/>
            </w:rPr>
            <w:t>Indhold</w:t>
          </w:r>
          <w:r w:rsidR="00B763CD">
            <w:rPr>
              <w:rFonts w:cs="Arial"/>
            </w:rPr>
            <w:tab/>
          </w:r>
        </w:p>
        <w:p w:rsidR="000265F8" w:rsidRDefault="00117A31">
          <w:pPr>
            <w:pStyle w:val="Indholdsfortegnelse1"/>
            <w:tabs>
              <w:tab w:val="right" w:leader="dot" w:pos="10456"/>
            </w:tabs>
            <w:rPr>
              <w:rFonts w:asciiTheme="minorHAnsi" w:eastAsiaTheme="minorEastAsia" w:hAnsiTheme="minorHAnsi"/>
              <w:noProof/>
              <w:sz w:val="22"/>
              <w:lang w:eastAsia="da-DK"/>
            </w:rPr>
          </w:pPr>
          <w:r w:rsidRPr="00983DF0">
            <w:rPr>
              <w:rFonts w:cs="Arial"/>
            </w:rPr>
            <w:fldChar w:fldCharType="begin"/>
          </w:r>
          <w:r w:rsidRPr="00983DF0">
            <w:rPr>
              <w:rFonts w:cs="Arial"/>
            </w:rPr>
            <w:instrText xml:space="preserve"> TOC \o "1-3" \h \z \u </w:instrText>
          </w:r>
          <w:r w:rsidRPr="00983DF0">
            <w:rPr>
              <w:rFonts w:cs="Arial"/>
            </w:rPr>
            <w:fldChar w:fldCharType="separate"/>
          </w:r>
          <w:hyperlink w:anchor="_Toc2932282" w:history="1">
            <w:r w:rsidR="000265F8" w:rsidRPr="004C39C6">
              <w:rPr>
                <w:rStyle w:val="Hyperlink"/>
                <w:rFonts w:cs="Arial"/>
                <w:noProof/>
              </w:rPr>
              <w:t>Regnskabsbemærkninger til finansiering, renter og balanceforskydninger o.lign.</w:t>
            </w:r>
            <w:r w:rsidR="000265F8">
              <w:rPr>
                <w:noProof/>
                <w:webHidden/>
              </w:rPr>
              <w:tab/>
            </w:r>
            <w:r w:rsidR="000265F8">
              <w:rPr>
                <w:noProof/>
                <w:webHidden/>
              </w:rPr>
              <w:fldChar w:fldCharType="begin"/>
            </w:r>
            <w:r w:rsidR="000265F8">
              <w:rPr>
                <w:noProof/>
                <w:webHidden/>
              </w:rPr>
              <w:instrText xml:space="preserve"> PAGEREF _Toc2932282 \h </w:instrText>
            </w:r>
            <w:r w:rsidR="000265F8">
              <w:rPr>
                <w:noProof/>
                <w:webHidden/>
              </w:rPr>
            </w:r>
            <w:r w:rsidR="000265F8">
              <w:rPr>
                <w:noProof/>
                <w:webHidden/>
              </w:rPr>
              <w:fldChar w:fldCharType="separate"/>
            </w:r>
            <w:r w:rsidR="000265F8">
              <w:rPr>
                <w:noProof/>
                <w:webHidden/>
              </w:rPr>
              <w:t>2</w:t>
            </w:r>
            <w:r w:rsidR="000265F8">
              <w:rPr>
                <w:noProof/>
                <w:webHidden/>
              </w:rPr>
              <w:fldChar w:fldCharType="end"/>
            </w:r>
          </w:hyperlink>
        </w:p>
        <w:p w:rsidR="000265F8" w:rsidRDefault="00787680">
          <w:pPr>
            <w:pStyle w:val="Indholdsfortegnelse1"/>
            <w:tabs>
              <w:tab w:val="right" w:leader="dot" w:pos="10456"/>
            </w:tabs>
            <w:rPr>
              <w:rFonts w:asciiTheme="minorHAnsi" w:eastAsiaTheme="minorEastAsia" w:hAnsiTheme="minorHAnsi"/>
              <w:noProof/>
              <w:sz w:val="22"/>
              <w:lang w:eastAsia="da-DK"/>
            </w:rPr>
          </w:pPr>
          <w:hyperlink w:anchor="_Toc2932283" w:history="1">
            <w:r w:rsidR="000265F8" w:rsidRPr="004C39C6">
              <w:rPr>
                <w:rStyle w:val="Hyperlink"/>
                <w:rFonts w:cs="Arial"/>
                <w:noProof/>
              </w:rPr>
              <w:t>Renter</w:t>
            </w:r>
            <w:r w:rsidR="000265F8">
              <w:rPr>
                <w:noProof/>
                <w:webHidden/>
              </w:rPr>
              <w:tab/>
            </w:r>
            <w:r w:rsidR="000265F8">
              <w:rPr>
                <w:noProof/>
                <w:webHidden/>
              </w:rPr>
              <w:fldChar w:fldCharType="begin"/>
            </w:r>
            <w:r w:rsidR="000265F8">
              <w:rPr>
                <w:noProof/>
                <w:webHidden/>
              </w:rPr>
              <w:instrText xml:space="preserve"> PAGEREF _Toc2932283 \h </w:instrText>
            </w:r>
            <w:r w:rsidR="000265F8">
              <w:rPr>
                <w:noProof/>
                <w:webHidden/>
              </w:rPr>
            </w:r>
            <w:r w:rsidR="000265F8">
              <w:rPr>
                <w:noProof/>
                <w:webHidden/>
              </w:rPr>
              <w:fldChar w:fldCharType="separate"/>
            </w:r>
            <w:r w:rsidR="000265F8">
              <w:rPr>
                <w:noProof/>
                <w:webHidden/>
              </w:rPr>
              <w:t>3</w:t>
            </w:r>
            <w:r w:rsidR="000265F8">
              <w:rPr>
                <w:noProof/>
                <w:webHidden/>
              </w:rPr>
              <w:fldChar w:fldCharType="end"/>
            </w:r>
          </w:hyperlink>
        </w:p>
        <w:p w:rsidR="000265F8" w:rsidRDefault="00787680">
          <w:pPr>
            <w:pStyle w:val="Indholdsfortegnelse2"/>
            <w:rPr>
              <w:rFonts w:asciiTheme="minorHAnsi" w:eastAsiaTheme="minorEastAsia" w:hAnsiTheme="minorHAnsi"/>
              <w:noProof/>
              <w:sz w:val="22"/>
              <w:lang w:eastAsia="da-DK"/>
            </w:rPr>
          </w:pPr>
          <w:hyperlink w:anchor="_Toc2932284" w:history="1">
            <w:r w:rsidR="000265F8" w:rsidRPr="004C39C6">
              <w:rPr>
                <w:rStyle w:val="Hyperlink"/>
                <w:rFonts w:cs="Arial"/>
                <w:noProof/>
              </w:rPr>
              <w:t>Økonomisk oversigt</w:t>
            </w:r>
            <w:r w:rsidR="000265F8">
              <w:rPr>
                <w:noProof/>
                <w:webHidden/>
              </w:rPr>
              <w:tab/>
            </w:r>
            <w:r w:rsidR="000265F8">
              <w:rPr>
                <w:noProof/>
                <w:webHidden/>
              </w:rPr>
              <w:fldChar w:fldCharType="begin"/>
            </w:r>
            <w:r w:rsidR="000265F8">
              <w:rPr>
                <w:noProof/>
                <w:webHidden/>
              </w:rPr>
              <w:instrText xml:space="preserve"> PAGEREF _Toc2932284 \h </w:instrText>
            </w:r>
            <w:r w:rsidR="000265F8">
              <w:rPr>
                <w:noProof/>
                <w:webHidden/>
              </w:rPr>
            </w:r>
            <w:r w:rsidR="000265F8">
              <w:rPr>
                <w:noProof/>
                <w:webHidden/>
              </w:rPr>
              <w:fldChar w:fldCharType="separate"/>
            </w:r>
            <w:r w:rsidR="000265F8">
              <w:rPr>
                <w:noProof/>
                <w:webHidden/>
              </w:rPr>
              <w:t>3</w:t>
            </w:r>
            <w:r w:rsidR="000265F8">
              <w:rPr>
                <w:noProof/>
                <w:webHidden/>
              </w:rPr>
              <w:fldChar w:fldCharType="end"/>
            </w:r>
          </w:hyperlink>
        </w:p>
        <w:p w:rsidR="000265F8" w:rsidRDefault="00787680">
          <w:pPr>
            <w:pStyle w:val="Indholdsfortegnelse2"/>
            <w:rPr>
              <w:rFonts w:asciiTheme="minorHAnsi" w:eastAsiaTheme="minorEastAsia" w:hAnsiTheme="minorHAnsi"/>
              <w:noProof/>
              <w:sz w:val="22"/>
              <w:lang w:eastAsia="da-DK"/>
            </w:rPr>
          </w:pPr>
          <w:hyperlink w:anchor="_Toc2932285" w:history="1">
            <w:r w:rsidR="000265F8" w:rsidRPr="004C39C6">
              <w:rPr>
                <w:rStyle w:val="Hyperlink"/>
                <w:rFonts w:cs="Arial"/>
                <w:noProof/>
              </w:rPr>
              <w:t>Årets væsentligste afvigelser og udfordringer</w:t>
            </w:r>
            <w:r w:rsidR="000265F8">
              <w:rPr>
                <w:noProof/>
                <w:webHidden/>
              </w:rPr>
              <w:tab/>
            </w:r>
            <w:r w:rsidR="000265F8">
              <w:rPr>
                <w:noProof/>
                <w:webHidden/>
              </w:rPr>
              <w:fldChar w:fldCharType="begin"/>
            </w:r>
            <w:r w:rsidR="000265F8">
              <w:rPr>
                <w:noProof/>
                <w:webHidden/>
              </w:rPr>
              <w:instrText xml:space="preserve"> PAGEREF _Toc2932285 \h </w:instrText>
            </w:r>
            <w:r w:rsidR="000265F8">
              <w:rPr>
                <w:noProof/>
                <w:webHidden/>
              </w:rPr>
            </w:r>
            <w:r w:rsidR="000265F8">
              <w:rPr>
                <w:noProof/>
                <w:webHidden/>
              </w:rPr>
              <w:fldChar w:fldCharType="separate"/>
            </w:r>
            <w:r w:rsidR="000265F8">
              <w:rPr>
                <w:noProof/>
                <w:webHidden/>
              </w:rPr>
              <w:t>3</w:t>
            </w:r>
            <w:r w:rsidR="000265F8">
              <w:rPr>
                <w:noProof/>
                <w:webHidden/>
              </w:rPr>
              <w:fldChar w:fldCharType="end"/>
            </w:r>
          </w:hyperlink>
        </w:p>
        <w:p w:rsidR="000265F8" w:rsidRDefault="00787680">
          <w:pPr>
            <w:pStyle w:val="Indholdsfortegnelse1"/>
            <w:tabs>
              <w:tab w:val="right" w:leader="dot" w:pos="10456"/>
            </w:tabs>
            <w:rPr>
              <w:rFonts w:asciiTheme="minorHAnsi" w:eastAsiaTheme="minorEastAsia" w:hAnsiTheme="minorHAnsi"/>
              <w:noProof/>
              <w:sz w:val="22"/>
              <w:lang w:eastAsia="da-DK"/>
            </w:rPr>
          </w:pPr>
          <w:hyperlink w:anchor="_Toc2932286" w:history="1">
            <w:r w:rsidR="000265F8" w:rsidRPr="004C39C6">
              <w:rPr>
                <w:rStyle w:val="Hyperlink"/>
                <w:rFonts w:cs="Arial"/>
                <w:noProof/>
              </w:rPr>
              <w:t>Balanceforskydninger</w:t>
            </w:r>
            <w:r w:rsidR="000265F8">
              <w:rPr>
                <w:noProof/>
                <w:webHidden/>
              </w:rPr>
              <w:tab/>
            </w:r>
            <w:r w:rsidR="000265F8">
              <w:rPr>
                <w:noProof/>
                <w:webHidden/>
              </w:rPr>
              <w:fldChar w:fldCharType="begin"/>
            </w:r>
            <w:r w:rsidR="000265F8">
              <w:rPr>
                <w:noProof/>
                <w:webHidden/>
              </w:rPr>
              <w:instrText xml:space="preserve"> PAGEREF _Toc2932286 \h </w:instrText>
            </w:r>
            <w:r w:rsidR="000265F8">
              <w:rPr>
                <w:noProof/>
                <w:webHidden/>
              </w:rPr>
            </w:r>
            <w:r w:rsidR="000265F8">
              <w:rPr>
                <w:noProof/>
                <w:webHidden/>
              </w:rPr>
              <w:fldChar w:fldCharType="separate"/>
            </w:r>
            <w:r w:rsidR="000265F8">
              <w:rPr>
                <w:noProof/>
                <w:webHidden/>
              </w:rPr>
              <w:t>4</w:t>
            </w:r>
            <w:r w:rsidR="000265F8">
              <w:rPr>
                <w:noProof/>
                <w:webHidden/>
              </w:rPr>
              <w:fldChar w:fldCharType="end"/>
            </w:r>
          </w:hyperlink>
        </w:p>
        <w:p w:rsidR="000265F8" w:rsidRDefault="00787680">
          <w:pPr>
            <w:pStyle w:val="Indholdsfortegnelse2"/>
            <w:rPr>
              <w:rFonts w:asciiTheme="minorHAnsi" w:eastAsiaTheme="minorEastAsia" w:hAnsiTheme="minorHAnsi"/>
              <w:noProof/>
              <w:sz w:val="22"/>
              <w:lang w:eastAsia="da-DK"/>
            </w:rPr>
          </w:pPr>
          <w:hyperlink w:anchor="_Toc2932287" w:history="1">
            <w:r w:rsidR="000265F8" w:rsidRPr="004C39C6">
              <w:rPr>
                <w:rStyle w:val="Hyperlink"/>
                <w:rFonts w:cs="Arial"/>
                <w:noProof/>
              </w:rPr>
              <w:t>Økonomisk oversigt</w:t>
            </w:r>
            <w:r w:rsidR="000265F8">
              <w:rPr>
                <w:noProof/>
                <w:webHidden/>
              </w:rPr>
              <w:tab/>
            </w:r>
            <w:r w:rsidR="000265F8">
              <w:rPr>
                <w:noProof/>
                <w:webHidden/>
              </w:rPr>
              <w:fldChar w:fldCharType="begin"/>
            </w:r>
            <w:r w:rsidR="000265F8">
              <w:rPr>
                <w:noProof/>
                <w:webHidden/>
              </w:rPr>
              <w:instrText xml:space="preserve"> PAGEREF _Toc2932287 \h </w:instrText>
            </w:r>
            <w:r w:rsidR="000265F8">
              <w:rPr>
                <w:noProof/>
                <w:webHidden/>
              </w:rPr>
            </w:r>
            <w:r w:rsidR="000265F8">
              <w:rPr>
                <w:noProof/>
                <w:webHidden/>
              </w:rPr>
              <w:fldChar w:fldCharType="separate"/>
            </w:r>
            <w:r w:rsidR="000265F8">
              <w:rPr>
                <w:noProof/>
                <w:webHidden/>
              </w:rPr>
              <w:t>4</w:t>
            </w:r>
            <w:r w:rsidR="000265F8">
              <w:rPr>
                <w:noProof/>
                <w:webHidden/>
              </w:rPr>
              <w:fldChar w:fldCharType="end"/>
            </w:r>
          </w:hyperlink>
        </w:p>
        <w:p w:rsidR="000265F8" w:rsidRDefault="00787680">
          <w:pPr>
            <w:pStyle w:val="Indholdsfortegnelse2"/>
            <w:rPr>
              <w:rFonts w:asciiTheme="minorHAnsi" w:eastAsiaTheme="minorEastAsia" w:hAnsiTheme="minorHAnsi"/>
              <w:noProof/>
              <w:sz w:val="22"/>
              <w:lang w:eastAsia="da-DK"/>
            </w:rPr>
          </w:pPr>
          <w:hyperlink w:anchor="_Toc2932288" w:history="1">
            <w:r w:rsidR="000265F8" w:rsidRPr="004C39C6">
              <w:rPr>
                <w:rStyle w:val="Hyperlink"/>
                <w:rFonts w:cs="Arial"/>
                <w:noProof/>
              </w:rPr>
              <w:t>Årets væsentligste afvigelser og udfordringer</w:t>
            </w:r>
            <w:r w:rsidR="000265F8">
              <w:rPr>
                <w:noProof/>
                <w:webHidden/>
              </w:rPr>
              <w:tab/>
            </w:r>
            <w:r w:rsidR="000265F8">
              <w:rPr>
                <w:noProof/>
                <w:webHidden/>
              </w:rPr>
              <w:fldChar w:fldCharType="begin"/>
            </w:r>
            <w:r w:rsidR="000265F8">
              <w:rPr>
                <w:noProof/>
                <w:webHidden/>
              </w:rPr>
              <w:instrText xml:space="preserve"> PAGEREF _Toc2932288 \h </w:instrText>
            </w:r>
            <w:r w:rsidR="000265F8">
              <w:rPr>
                <w:noProof/>
                <w:webHidden/>
              </w:rPr>
            </w:r>
            <w:r w:rsidR="000265F8">
              <w:rPr>
                <w:noProof/>
                <w:webHidden/>
              </w:rPr>
              <w:fldChar w:fldCharType="separate"/>
            </w:r>
            <w:r w:rsidR="000265F8">
              <w:rPr>
                <w:noProof/>
                <w:webHidden/>
              </w:rPr>
              <w:t>5</w:t>
            </w:r>
            <w:r w:rsidR="000265F8">
              <w:rPr>
                <w:noProof/>
                <w:webHidden/>
              </w:rPr>
              <w:fldChar w:fldCharType="end"/>
            </w:r>
          </w:hyperlink>
        </w:p>
        <w:p w:rsidR="000265F8" w:rsidRDefault="00787680">
          <w:pPr>
            <w:pStyle w:val="Indholdsfortegnelse1"/>
            <w:tabs>
              <w:tab w:val="right" w:leader="dot" w:pos="10456"/>
            </w:tabs>
            <w:rPr>
              <w:rFonts w:asciiTheme="minorHAnsi" w:eastAsiaTheme="minorEastAsia" w:hAnsiTheme="minorHAnsi"/>
              <w:noProof/>
              <w:sz w:val="22"/>
              <w:lang w:eastAsia="da-DK"/>
            </w:rPr>
          </w:pPr>
          <w:hyperlink w:anchor="_Toc2932289" w:history="1">
            <w:r w:rsidR="000265F8" w:rsidRPr="004C39C6">
              <w:rPr>
                <w:rStyle w:val="Hyperlink"/>
                <w:rFonts w:cs="Arial"/>
                <w:noProof/>
              </w:rPr>
              <w:t>Afdrag på lån og leasingforpligtelser</w:t>
            </w:r>
            <w:r w:rsidR="000265F8">
              <w:rPr>
                <w:noProof/>
                <w:webHidden/>
              </w:rPr>
              <w:tab/>
            </w:r>
            <w:r w:rsidR="000265F8">
              <w:rPr>
                <w:noProof/>
                <w:webHidden/>
              </w:rPr>
              <w:fldChar w:fldCharType="begin"/>
            </w:r>
            <w:r w:rsidR="000265F8">
              <w:rPr>
                <w:noProof/>
                <w:webHidden/>
              </w:rPr>
              <w:instrText xml:space="preserve"> PAGEREF _Toc2932289 \h </w:instrText>
            </w:r>
            <w:r w:rsidR="000265F8">
              <w:rPr>
                <w:noProof/>
                <w:webHidden/>
              </w:rPr>
            </w:r>
            <w:r w:rsidR="000265F8">
              <w:rPr>
                <w:noProof/>
                <w:webHidden/>
              </w:rPr>
              <w:fldChar w:fldCharType="separate"/>
            </w:r>
            <w:r w:rsidR="000265F8">
              <w:rPr>
                <w:noProof/>
                <w:webHidden/>
              </w:rPr>
              <w:t>5</w:t>
            </w:r>
            <w:r w:rsidR="000265F8">
              <w:rPr>
                <w:noProof/>
                <w:webHidden/>
              </w:rPr>
              <w:fldChar w:fldCharType="end"/>
            </w:r>
          </w:hyperlink>
        </w:p>
        <w:p w:rsidR="000265F8" w:rsidRDefault="00787680">
          <w:pPr>
            <w:pStyle w:val="Indholdsfortegnelse2"/>
            <w:rPr>
              <w:rFonts w:asciiTheme="minorHAnsi" w:eastAsiaTheme="minorEastAsia" w:hAnsiTheme="minorHAnsi"/>
              <w:noProof/>
              <w:sz w:val="22"/>
              <w:lang w:eastAsia="da-DK"/>
            </w:rPr>
          </w:pPr>
          <w:hyperlink w:anchor="_Toc2932290" w:history="1">
            <w:r w:rsidR="000265F8" w:rsidRPr="004C39C6">
              <w:rPr>
                <w:rStyle w:val="Hyperlink"/>
                <w:rFonts w:cs="Arial"/>
                <w:noProof/>
              </w:rPr>
              <w:t>Økonomisk oversigt</w:t>
            </w:r>
            <w:r w:rsidR="000265F8">
              <w:rPr>
                <w:noProof/>
                <w:webHidden/>
              </w:rPr>
              <w:tab/>
            </w:r>
            <w:r w:rsidR="000265F8">
              <w:rPr>
                <w:noProof/>
                <w:webHidden/>
              </w:rPr>
              <w:fldChar w:fldCharType="begin"/>
            </w:r>
            <w:r w:rsidR="000265F8">
              <w:rPr>
                <w:noProof/>
                <w:webHidden/>
              </w:rPr>
              <w:instrText xml:space="preserve"> PAGEREF _Toc2932290 \h </w:instrText>
            </w:r>
            <w:r w:rsidR="000265F8">
              <w:rPr>
                <w:noProof/>
                <w:webHidden/>
              </w:rPr>
            </w:r>
            <w:r w:rsidR="000265F8">
              <w:rPr>
                <w:noProof/>
                <w:webHidden/>
              </w:rPr>
              <w:fldChar w:fldCharType="separate"/>
            </w:r>
            <w:r w:rsidR="000265F8">
              <w:rPr>
                <w:noProof/>
                <w:webHidden/>
              </w:rPr>
              <w:t>5</w:t>
            </w:r>
            <w:r w:rsidR="000265F8">
              <w:rPr>
                <w:noProof/>
                <w:webHidden/>
              </w:rPr>
              <w:fldChar w:fldCharType="end"/>
            </w:r>
          </w:hyperlink>
        </w:p>
        <w:p w:rsidR="000265F8" w:rsidRDefault="00787680">
          <w:pPr>
            <w:pStyle w:val="Indholdsfortegnelse2"/>
            <w:rPr>
              <w:rFonts w:asciiTheme="minorHAnsi" w:eastAsiaTheme="minorEastAsia" w:hAnsiTheme="minorHAnsi"/>
              <w:noProof/>
              <w:sz w:val="22"/>
              <w:lang w:eastAsia="da-DK"/>
            </w:rPr>
          </w:pPr>
          <w:hyperlink w:anchor="_Toc2932291" w:history="1">
            <w:r w:rsidR="000265F8" w:rsidRPr="004C39C6">
              <w:rPr>
                <w:rStyle w:val="Hyperlink"/>
                <w:rFonts w:cs="Arial"/>
                <w:noProof/>
              </w:rPr>
              <w:t>Årets væsentligste afvigelser og udfordringer</w:t>
            </w:r>
            <w:r w:rsidR="000265F8">
              <w:rPr>
                <w:noProof/>
                <w:webHidden/>
              </w:rPr>
              <w:tab/>
            </w:r>
            <w:r w:rsidR="000265F8">
              <w:rPr>
                <w:noProof/>
                <w:webHidden/>
              </w:rPr>
              <w:fldChar w:fldCharType="begin"/>
            </w:r>
            <w:r w:rsidR="000265F8">
              <w:rPr>
                <w:noProof/>
                <w:webHidden/>
              </w:rPr>
              <w:instrText xml:space="preserve"> PAGEREF _Toc2932291 \h </w:instrText>
            </w:r>
            <w:r w:rsidR="000265F8">
              <w:rPr>
                <w:noProof/>
                <w:webHidden/>
              </w:rPr>
            </w:r>
            <w:r w:rsidR="000265F8">
              <w:rPr>
                <w:noProof/>
                <w:webHidden/>
              </w:rPr>
              <w:fldChar w:fldCharType="separate"/>
            </w:r>
            <w:r w:rsidR="000265F8">
              <w:rPr>
                <w:noProof/>
                <w:webHidden/>
              </w:rPr>
              <w:t>5</w:t>
            </w:r>
            <w:r w:rsidR="000265F8">
              <w:rPr>
                <w:noProof/>
                <w:webHidden/>
              </w:rPr>
              <w:fldChar w:fldCharType="end"/>
            </w:r>
          </w:hyperlink>
        </w:p>
        <w:p w:rsidR="000265F8" w:rsidRDefault="00787680">
          <w:pPr>
            <w:pStyle w:val="Indholdsfortegnelse2"/>
            <w:rPr>
              <w:rFonts w:asciiTheme="minorHAnsi" w:eastAsiaTheme="minorEastAsia" w:hAnsiTheme="minorHAnsi"/>
              <w:noProof/>
              <w:sz w:val="22"/>
              <w:lang w:eastAsia="da-DK"/>
            </w:rPr>
          </w:pPr>
          <w:hyperlink w:anchor="_Toc2932292" w:history="1">
            <w:r w:rsidR="000265F8" w:rsidRPr="004C39C6">
              <w:rPr>
                <w:rStyle w:val="Hyperlink"/>
                <w:rFonts w:cs="Arial"/>
                <w:noProof/>
              </w:rPr>
              <w:t>Økonomisk oversigt</w:t>
            </w:r>
            <w:r w:rsidR="000265F8">
              <w:rPr>
                <w:noProof/>
                <w:webHidden/>
              </w:rPr>
              <w:tab/>
            </w:r>
            <w:r w:rsidR="000265F8">
              <w:rPr>
                <w:noProof/>
                <w:webHidden/>
              </w:rPr>
              <w:fldChar w:fldCharType="begin"/>
            </w:r>
            <w:r w:rsidR="000265F8">
              <w:rPr>
                <w:noProof/>
                <w:webHidden/>
              </w:rPr>
              <w:instrText xml:space="preserve"> PAGEREF _Toc2932292 \h </w:instrText>
            </w:r>
            <w:r w:rsidR="000265F8">
              <w:rPr>
                <w:noProof/>
                <w:webHidden/>
              </w:rPr>
            </w:r>
            <w:r w:rsidR="000265F8">
              <w:rPr>
                <w:noProof/>
                <w:webHidden/>
              </w:rPr>
              <w:fldChar w:fldCharType="separate"/>
            </w:r>
            <w:r w:rsidR="000265F8">
              <w:rPr>
                <w:noProof/>
                <w:webHidden/>
              </w:rPr>
              <w:t>5</w:t>
            </w:r>
            <w:r w:rsidR="000265F8">
              <w:rPr>
                <w:noProof/>
                <w:webHidden/>
              </w:rPr>
              <w:fldChar w:fldCharType="end"/>
            </w:r>
          </w:hyperlink>
        </w:p>
        <w:p w:rsidR="000265F8" w:rsidRDefault="00787680">
          <w:pPr>
            <w:pStyle w:val="Indholdsfortegnelse2"/>
            <w:rPr>
              <w:rFonts w:asciiTheme="minorHAnsi" w:eastAsiaTheme="minorEastAsia" w:hAnsiTheme="minorHAnsi"/>
              <w:noProof/>
              <w:sz w:val="22"/>
              <w:lang w:eastAsia="da-DK"/>
            </w:rPr>
          </w:pPr>
          <w:hyperlink w:anchor="_Toc2932293" w:history="1">
            <w:r w:rsidR="000265F8" w:rsidRPr="004C39C6">
              <w:rPr>
                <w:rStyle w:val="Hyperlink"/>
                <w:rFonts w:cs="Arial"/>
                <w:noProof/>
              </w:rPr>
              <w:t>Årets væsentligste afvigelser og udfordringer</w:t>
            </w:r>
            <w:r w:rsidR="000265F8">
              <w:rPr>
                <w:noProof/>
                <w:webHidden/>
              </w:rPr>
              <w:tab/>
            </w:r>
            <w:r w:rsidR="000265F8">
              <w:rPr>
                <w:noProof/>
                <w:webHidden/>
              </w:rPr>
              <w:fldChar w:fldCharType="begin"/>
            </w:r>
            <w:r w:rsidR="000265F8">
              <w:rPr>
                <w:noProof/>
                <w:webHidden/>
              </w:rPr>
              <w:instrText xml:space="preserve"> PAGEREF _Toc2932293 \h </w:instrText>
            </w:r>
            <w:r w:rsidR="000265F8">
              <w:rPr>
                <w:noProof/>
                <w:webHidden/>
              </w:rPr>
            </w:r>
            <w:r w:rsidR="000265F8">
              <w:rPr>
                <w:noProof/>
                <w:webHidden/>
              </w:rPr>
              <w:fldChar w:fldCharType="separate"/>
            </w:r>
            <w:r w:rsidR="000265F8">
              <w:rPr>
                <w:noProof/>
                <w:webHidden/>
              </w:rPr>
              <w:t>6</w:t>
            </w:r>
            <w:r w:rsidR="000265F8">
              <w:rPr>
                <w:noProof/>
                <w:webHidden/>
              </w:rPr>
              <w:fldChar w:fldCharType="end"/>
            </w:r>
          </w:hyperlink>
        </w:p>
        <w:p w:rsidR="00117A31" w:rsidRPr="00983DF0" w:rsidRDefault="00117A31">
          <w:pPr>
            <w:rPr>
              <w:rFonts w:cs="Arial"/>
            </w:rPr>
          </w:pPr>
          <w:r w:rsidRPr="00983DF0">
            <w:rPr>
              <w:rFonts w:cs="Arial"/>
              <w:b/>
              <w:bCs/>
            </w:rPr>
            <w:fldChar w:fldCharType="end"/>
          </w:r>
        </w:p>
      </w:sdtContent>
    </w:sdt>
    <w:p w:rsidR="00E10756" w:rsidRDefault="00CC1A94" w:rsidP="00E10756">
      <w:pPr>
        <w:pStyle w:val="Overskrift1"/>
        <w:rPr>
          <w:rFonts w:cs="Arial"/>
        </w:rPr>
      </w:pPr>
      <w:r w:rsidRPr="00983DF0">
        <w:rPr>
          <w:rFonts w:cs="Arial"/>
        </w:rPr>
        <w:br w:type="page"/>
      </w:r>
      <w:bookmarkStart w:id="1" w:name="_Toc480461137"/>
      <w:bookmarkStart w:id="2" w:name="_Toc487445018"/>
      <w:bookmarkStart w:id="3" w:name="_Toc2932282"/>
      <w:r w:rsidR="00A93116">
        <w:rPr>
          <w:rFonts w:cs="Arial"/>
        </w:rPr>
        <w:lastRenderedPageBreak/>
        <w:t>Regnskabs</w:t>
      </w:r>
      <w:r w:rsidR="00E10756" w:rsidRPr="00983DF0">
        <w:rPr>
          <w:rFonts w:cs="Arial"/>
        </w:rPr>
        <w:t xml:space="preserve">bemærkninger </w:t>
      </w:r>
      <w:r w:rsidR="0060169C">
        <w:rPr>
          <w:rFonts w:cs="Arial"/>
        </w:rPr>
        <w:t>til finansiering, renter og balance</w:t>
      </w:r>
      <w:r w:rsidR="00983DF0">
        <w:rPr>
          <w:rFonts w:cs="Arial"/>
        </w:rPr>
        <w:t>for</w:t>
      </w:r>
      <w:r w:rsidR="0060169C">
        <w:rPr>
          <w:rFonts w:cs="Arial"/>
        </w:rPr>
        <w:t xml:space="preserve">skydninger </w:t>
      </w:r>
      <w:r w:rsidR="000372CF">
        <w:rPr>
          <w:rFonts w:cs="Arial"/>
        </w:rPr>
        <w:t>o. lign</w:t>
      </w:r>
      <w:r w:rsidR="0060169C">
        <w:rPr>
          <w:rFonts w:cs="Arial"/>
        </w:rPr>
        <w:t>.</w:t>
      </w:r>
      <w:bookmarkEnd w:id="1"/>
      <w:bookmarkEnd w:id="2"/>
      <w:bookmarkEnd w:id="3"/>
    </w:p>
    <w:p w:rsidR="0060169C" w:rsidRDefault="0060169C" w:rsidP="0060169C">
      <w:pPr>
        <w:rPr>
          <w:rFonts w:cs="Arial"/>
          <w:szCs w:val="20"/>
        </w:rPr>
      </w:pPr>
      <w:r>
        <w:rPr>
          <w:rFonts w:cs="Arial"/>
          <w:szCs w:val="20"/>
        </w:rPr>
        <w:t xml:space="preserve">På hovedkonto 7 og 8 budgetteres alle udgifts- og indtægtstyper, som ikke hører ind under drift eller anlæg. De væsentligste poster er kommunens indtægter fra skat, tilskud og udligning på </w:t>
      </w:r>
      <w:r w:rsidR="00C57DC6">
        <w:rPr>
          <w:rFonts w:cs="Arial"/>
          <w:szCs w:val="20"/>
        </w:rPr>
        <w:t>samlet 2,8</w:t>
      </w:r>
      <w:r>
        <w:rPr>
          <w:rFonts w:cs="Arial"/>
          <w:szCs w:val="20"/>
        </w:rPr>
        <w:t xml:space="preserve"> mia. kr., men herudover </w:t>
      </w:r>
      <w:r w:rsidR="00DA1AFA">
        <w:rPr>
          <w:rFonts w:cs="Arial"/>
          <w:szCs w:val="20"/>
        </w:rPr>
        <w:t>er der</w:t>
      </w:r>
      <w:r>
        <w:rPr>
          <w:rFonts w:cs="Arial"/>
          <w:szCs w:val="20"/>
        </w:rPr>
        <w:t xml:space="preserve"> en række andre poster af finansiel karakter</w:t>
      </w:r>
      <w:r w:rsidR="001D124F">
        <w:rPr>
          <w:rFonts w:cs="Arial"/>
          <w:szCs w:val="20"/>
        </w:rPr>
        <w:t>, kaldet dranster</w:t>
      </w:r>
      <w:r>
        <w:rPr>
          <w:rFonts w:cs="Arial"/>
          <w:szCs w:val="20"/>
        </w:rPr>
        <w:t>:</w:t>
      </w:r>
    </w:p>
    <w:p w:rsidR="0060169C" w:rsidRDefault="0060169C" w:rsidP="0060169C">
      <w:pPr>
        <w:pStyle w:val="Listeafsnit"/>
        <w:numPr>
          <w:ilvl w:val="0"/>
          <w:numId w:val="11"/>
        </w:numPr>
        <w:spacing w:after="0"/>
        <w:rPr>
          <w:rFonts w:cs="Arial"/>
          <w:szCs w:val="20"/>
        </w:rPr>
      </w:pPr>
      <w:r>
        <w:rPr>
          <w:rFonts w:cs="Arial"/>
          <w:szCs w:val="20"/>
        </w:rPr>
        <w:t>Renter</w:t>
      </w:r>
      <w:r w:rsidR="001D124F">
        <w:rPr>
          <w:rFonts w:cs="Arial"/>
          <w:szCs w:val="20"/>
        </w:rPr>
        <w:t xml:space="preserve"> (dranst 4)</w:t>
      </w:r>
      <w:r>
        <w:rPr>
          <w:rFonts w:cs="Arial"/>
          <w:szCs w:val="20"/>
        </w:rPr>
        <w:t>: Dækker over alle typer af renter, gebyrer og kurstab, som kommunen enten modtager eller betaler i forbindelse med sine forretninger med banker, realkreditinstitutter mv.</w:t>
      </w:r>
    </w:p>
    <w:p w:rsidR="0060169C" w:rsidRPr="004E4330" w:rsidRDefault="0060169C" w:rsidP="0060169C">
      <w:pPr>
        <w:pStyle w:val="Listeafsnit"/>
        <w:numPr>
          <w:ilvl w:val="0"/>
          <w:numId w:val="11"/>
        </w:numPr>
        <w:spacing w:after="0"/>
        <w:rPr>
          <w:rFonts w:cs="Arial"/>
          <w:szCs w:val="20"/>
        </w:rPr>
      </w:pPr>
      <w:r>
        <w:rPr>
          <w:rFonts w:cs="Arial"/>
          <w:szCs w:val="20"/>
        </w:rPr>
        <w:t>Balanceforskydninger</w:t>
      </w:r>
      <w:r w:rsidR="001D124F">
        <w:rPr>
          <w:rFonts w:cs="Arial"/>
          <w:szCs w:val="20"/>
        </w:rPr>
        <w:t xml:space="preserve"> (dranst 5)</w:t>
      </w:r>
      <w:r>
        <w:rPr>
          <w:rFonts w:cs="Arial"/>
          <w:szCs w:val="20"/>
        </w:rPr>
        <w:t xml:space="preserve">: Her er tale om øvrige forskydninger i kommunens tilgodehavender eller forpligtelser, som har indflydelse på kommunens likvide beholdning. </w:t>
      </w:r>
      <w:r w:rsidR="00EF6C29">
        <w:rPr>
          <w:rFonts w:cs="Arial"/>
          <w:szCs w:val="20"/>
        </w:rPr>
        <w:t xml:space="preserve">For en stor del af balanceforskydningernes vedkommende budgetteres de ikke, da der er tale om mere eller mindre uforudsigelige udsving i betalingsmønstre, som forventes at udligne hinanden inden for det enkelte regnskabsår, </w:t>
      </w:r>
      <w:r w:rsidR="001406F1">
        <w:rPr>
          <w:rFonts w:cs="Arial"/>
          <w:szCs w:val="20"/>
        </w:rPr>
        <w:t>eller i hvert fald</w:t>
      </w:r>
      <w:r w:rsidR="00EF6C29">
        <w:rPr>
          <w:rFonts w:cs="Arial"/>
          <w:szCs w:val="20"/>
        </w:rPr>
        <w:t xml:space="preserve"> </w:t>
      </w:r>
      <w:r w:rsidR="00DA1AFA">
        <w:rPr>
          <w:rFonts w:cs="Arial"/>
          <w:szCs w:val="20"/>
        </w:rPr>
        <w:t>over en kort årrække</w:t>
      </w:r>
      <w:r w:rsidR="00EF6C29">
        <w:rPr>
          <w:rFonts w:cs="Arial"/>
          <w:szCs w:val="20"/>
        </w:rPr>
        <w:t xml:space="preserve">. </w:t>
      </w:r>
      <w:r>
        <w:rPr>
          <w:rFonts w:cs="Arial"/>
          <w:szCs w:val="20"/>
        </w:rPr>
        <w:t xml:space="preserve">Kassetrækket budgetteres </w:t>
      </w:r>
      <w:r w:rsidR="00EF6C29">
        <w:rPr>
          <w:rFonts w:cs="Arial"/>
          <w:szCs w:val="20"/>
        </w:rPr>
        <w:t>som ba</w:t>
      </w:r>
      <w:r>
        <w:rPr>
          <w:rFonts w:cs="Arial"/>
          <w:szCs w:val="20"/>
        </w:rPr>
        <w:t>lanceforskydning.</w:t>
      </w:r>
    </w:p>
    <w:p w:rsidR="00EF6C29" w:rsidRDefault="0060169C" w:rsidP="0060169C">
      <w:pPr>
        <w:pStyle w:val="Listeafsnit"/>
        <w:numPr>
          <w:ilvl w:val="0"/>
          <w:numId w:val="11"/>
        </w:numPr>
        <w:spacing w:after="0"/>
        <w:rPr>
          <w:rFonts w:cs="Arial"/>
          <w:szCs w:val="20"/>
        </w:rPr>
      </w:pPr>
      <w:r w:rsidRPr="006A7768">
        <w:rPr>
          <w:rFonts w:cs="Arial"/>
          <w:szCs w:val="20"/>
        </w:rPr>
        <w:t>Afdrag på lån og leasingforpligtelser</w:t>
      </w:r>
      <w:r w:rsidR="001D124F">
        <w:rPr>
          <w:rFonts w:cs="Arial"/>
          <w:szCs w:val="20"/>
        </w:rPr>
        <w:t xml:space="preserve"> (dranst 6)</w:t>
      </w:r>
      <w:r w:rsidRPr="006A7768">
        <w:rPr>
          <w:rFonts w:cs="Arial"/>
          <w:szCs w:val="20"/>
        </w:rPr>
        <w:t>: Posten dækker over løbende afdrag på lån såvel som ekstraordinære indfrielser, der måtte være besluttet. Brøndby Kommune har ingen leasingaftaler pt.</w:t>
      </w:r>
    </w:p>
    <w:p w:rsidR="0060169C" w:rsidRPr="00D94272" w:rsidRDefault="0060169C" w:rsidP="00DA400D">
      <w:pPr>
        <w:pStyle w:val="Listeafsnit"/>
        <w:numPr>
          <w:ilvl w:val="0"/>
          <w:numId w:val="11"/>
        </w:numPr>
        <w:spacing w:after="0"/>
        <w:rPr>
          <w:rFonts w:cs="Arial"/>
          <w:szCs w:val="20"/>
        </w:rPr>
      </w:pPr>
      <w:r w:rsidRPr="00EF6C29">
        <w:rPr>
          <w:rFonts w:cs="Arial"/>
          <w:szCs w:val="20"/>
        </w:rPr>
        <w:t>Finansiering</w:t>
      </w:r>
      <w:r w:rsidR="001D124F">
        <w:rPr>
          <w:rFonts w:cs="Arial"/>
          <w:szCs w:val="20"/>
        </w:rPr>
        <w:t xml:space="preserve"> (dranst 7)</w:t>
      </w:r>
      <w:r w:rsidRPr="00EF6C29">
        <w:rPr>
          <w:rFonts w:cs="Arial"/>
          <w:szCs w:val="20"/>
        </w:rPr>
        <w:t>: Her fremgår det, om kommunen budgetterer med at optage nye lån. Posten kan dække over både kommunens egne lån og ældreboliglån. Kommunens indtægter fra skat, tilskud og udligning er også budgetteret under finansiering.</w:t>
      </w:r>
    </w:p>
    <w:p w:rsidR="00D94272" w:rsidRDefault="00D94272" w:rsidP="00DA400D">
      <w:pPr>
        <w:rPr>
          <w:rFonts w:cs="Arial"/>
        </w:rPr>
      </w:pPr>
    </w:p>
    <w:p w:rsidR="00D94272" w:rsidRDefault="00D94272" w:rsidP="00DA400D">
      <w:pPr>
        <w:rPr>
          <w:rFonts w:cs="Arial"/>
        </w:rPr>
      </w:pPr>
      <w:r>
        <w:rPr>
          <w:rFonts w:cs="Arial"/>
        </w:rPr>
        <w:t>I tabel 1 findes overblik over de fire typer af budget-/regnskabsposter, og i kapitlerne derefter gennemgås de enkeltvis.</w:t>
      </w:r>
    </w:p>
    <w:p w:rsidR="001D124F" w:rsidRDefault="001D124F" w:rsidP="00DA400D">
      <w:pPr>
        <w:rPr>
          <w:rFonts w:cs="Arial"/>
        </w:rPr>
      </w:pPr>
      <w:r>
        <w:rPr>
          <w:rFonts w:cs="Arial"/>
        </w:rPr>
        <w:t>Det skal bemærkes, at bevillingsniveauer og –regler på hovedkonto 7 og 8 ikke følger inddelingen i politikområder og budgetområder, som det er tilfældet med drift og anlæg. Bevillinger på de finansielle poster gives under de enkelte udvalg (hvor Økonomiudvalget står for langt hovedparten) og på de af Økonomi- og Indenrigsministeriet autoriserede funktioner. Regnskabsaflæggelsen følger bevillingsniveauerne, og det samme gør bemærkningerne i det følgende.</w:t>
      </w:r>
    </w:p>
    <w:p w:rsidR="00C21606" w:rsidRDefault="0072295B" w:rsidP="00C21606">
      <w:pPr>
        <w:spacing w:after="0"/>
      </w:pPr>
      <w:r w:rsidRPr="0072295B">
        <w:t xml:space="preserve"> </w:t>
      </w:r>
      <w:r w:rsidR="00DA400D" w:rsidRPr="00827A6B">
        <w:t xml:space="preserve">Tabel </w:t>
      </w:r>
      <w:r w:rsidR="00F26966">
        <w:rPr>
          <w:noProof/>
        </w:rPr>
        <w:fldChar w:fldCharType="begin"/>
      </w:r>
      <w:r w:rsidR="00F26966">
        <w:rPr>
          <w:noProof/>
        </w:rPr>
        <w:instrText xml:space="preserve"> SEQ Tabel \* ARABIC </w:instrText>
      </w:r>
      <w:r w:rsidR="00F26966">
        <w:rPr>
          <w:noProof/>
        </w:rPr>
        <w:fldChar w:fldCharType="separate"/>
      </w:r>
      <w:r w:rsidR="00CB6A4A">
        <w:rPr>
          <w:noProof/>
        </w:rPr>
        <w:t>1</w:t>
      </w:r>
      <w:r w:rsidR="00F26966">
        <w:rPr>
          <w:noProof/>
        </w:rPr>
        <w:fldChar w:fldCharType="end"/>
      </w:r>
      <w:r w:rsidR="00DA400D" w:rsidRPr="00827A6B">
        <w:t xml:space="preserve">. </w:t>
      </w:r>
      <w:r w:rsidR="00D94272">
        <w:t>Renter, balanceforskydninger, afdrag på lån og leasingforpligtelser samt finansiering – samlet oversigt.</w:t>
      </w:r>
      <w:bookmarkStart w:id="4" w:name="_Toc497739563"/>
    </w:p>
    <w:tbl>
      <w:tblPr>
        <w:tblW w:w="5000" w:type="pct"/>
        <w:tblCellMar>
          <w:left w:w="70" w:type="dxa"/>
          <w:right w:w="70" w:type="dxa"/>
        </w:tblCellMar>
        <w:tblLook w:val="04A0" w:firstRow="1" w:lastRow="0" w:firstColumn="1" w:lastColumn="0" w:noHBand="0" w:noVBand="1"/>
      </w:tblPr>
      <w:tblGrid>
        <w:gridCol w:w="4407"/>
        <w:gridCol w:w="919"/>
        <w:gridCol w:w="920"/>
        <w:gridCol w:w="1350"/>
        <w:gridCol w:w="920"/>
        <w:gridCol w:w="920"/>
        <w:gridCol w:w="1020"/>
      </w:tblGrid>
      <w:tr w:rsidR="006A4E08" w:rsidRPr="006A4E08" w:rsidTr="006A4E08">
        <w:trPr>
          <w:trHeight w:val="900"/>
        </w:trPr>
        <w:tc>
          <w:tcPr>
            <w:tcW w:w="2125" w:type="pct"/>
            <w:tcBorders>
              <w:top w:val="single" w:sz="4" w:space="0" w:color="auto"/>
              <w:left w:val="single" w:sz="4" w:space="0" w:color="auto"/>
              <w:bottom w:val="single" w:sz="4" w:space="0" w:color="auto"/>
              <w:right w:val="single" w:sz="4" w:space="0" w:color="auto"/>
            </w:tcBorders>
            <w:shd w:val="clear" w:color="000000" w:fill="C5D9F1"/>
            <w:vAlign w:val="center"/>
            <w:hideMark/>
          </w:tcPr>
          <w:p w:rsidR="006A4E08" w:rsidRPr="006A4E08" w:rsidRDefault="006A4E08" w:rsidP="006A4E08">
            <w:pPr>
              <w:spacing w:after="0"/>
              <w:rPr>
                <w:rFonts w:eastAsia="Times New Roman" w:cs="Arial"/>
                <w:b/>
                <w:bCs/>
                <w:sz w:val="16"/>
                <w:szCs w:val="16"/>
                <w:lang w:eastAsia="da-DK"/>
              </w:rPr>
            </w:pPr>
            <w:r w:rsidRPr="006A4E08">
              <w:rPr>
                <w:rFonts w:eastAsia="Times New Roman" w:cs="Arial"/>
                <w:b/>
                <w:bCs/>
                <w:sz w:val="16"/>
                <w:szCs w:val="16"/>
                <w:lang w:eastAsia="da-DK"/>
              </w:rPr>
              <w:t xml:space="preserve">Samtlige udvalg - Renter, balanceforskydninger, lånafdrag og finansiering – I 1.000 kr.                                 </w:t>
            </w:r>
          </w:p>
        </w:tc>
        <w:tc>
          <w:tcPr>
            <w:tcW w:w="457" w:type="pct"/>
            <w:tcBorders>
              <w:top w:val="single" w:sz="4" w:space="0" w:color="auto"/>
              <w:left w:val="nil"/>
              <w:bottom w:val="single" w:sz="4" w:space="0" w:color="auto"/>
              <w:right w:val="single" w:sz="4" w:space="0" w:color="auto"/>
            </w:tcBorders>
            <w:shd w:val="clear" w:color="000000" w:fill="C5D9F1"/>
            <w:vAlign w:val="center"/>
            <w:hideMark/>
          </w:tcPr>
          <w:p w:rsidR="006A4E08" w:rsidRPr="006A4E08" w:rsidRDefault="006A4E08" w:rsidP="006A4E08">
            <w:pPr>
              <w:spacing w:after="0"/>
              <w:jc w:val="center"/>
              <w:rPr>
                <w:rFonts w:eastAsia="Times New Roman" w:cs="Arial"/>
                <w:b/>
                <w:bCs/>
                <w:sz w:val="16"/>
                <w:szCs w:val="16"/>
                <w:lang w:eastAsia="da-DK"/>
              </w:rPr>
            </w:pPr>
            <w:r w:rsidRPr="006A4E08">
              <w:rPr>
                <w:rFonts w:eastAsia="Times New Roman" w:cs="Arial"/>
                <w:b/>
                <w:bCs/>
                <w:sz w:val="16"/>
                <w:szCs w:val="16"/>
                <w:lang w:eastAsia="da-DK"/>
              </w:rPr>
              <w:t>Regnskab 2018</w:t>
            </w:r>
          </w:p>
        </w:tc>
        <w:tc>
          <w:tcPr>
            <w:tcW w:w="457" w:type="pct"/>
            <w:tcBorders>
              <w:top w:val="single" w:sz="4" w:space="0" w:color="auto"/>
              <w:left w:val="nil"/>
              <w:bottom w:val="single" w:sz="4" w:space="0" w:color="auto"/>
              <w:right w:val="single" w:sz="4" w:space="0" w:color="auto"/>
            </w:tcBorders>
            <w:shd w:val="clear" w:color="000000" w:fill="C5D9F1"/>
            <w:vAlign w:val="center"/>
            <w:hideMark/>
          </w:tcPr>
          <w:p w:rsidR="006A4E08" w:rsidRPr="006A4E08" w:rsidRDefault="006A4E08" w:rsidP="006A4E08">
            <w:pPr>
              <w:spacing w:after="0"/>
              <w:jc w:val="center"/>
              <w:rPr>
                <w:rFonts w:eastAsia="Times New Roman" w:cs="Arial"/>
                <w:b/>
                <w:bCs/>
                <w:sz w:val="16"/>
                <w:szCs w:val="16"/>
                <w:lang w:eastAsia="da-DK"/>
              </w:rPr>
            </w:pPr>
            <w:r w:rsidRPr="006A4E08">
              <w:rPr>
                <w:rFonts w:eastAsia="Times New Roman" w:cs="Arial"/>
                <w:b/>
                <w:bCs/>
                <w:sz w:val="16"/>
                <w:szCs w:val="16"/>
                <w:lang w:eastAsia="da-DK"/>
              </w:rPr>
              <w:t>Opr. v. Budget 201</w:t>
            </w:r>
            <w:r w:rsidR="009D0393">
              <w:rPr>
                <w:rFonts w:eastAsia="Times New Roman" w:cs="Arial"/>
                <w:b/>
                <w:bCs/>
                <w:sz w:val="16"/>
                <w:szCs w:val="16"/>
                <w:lang w:eastAsia="da-DK"/>
              </w:rPr>
              <w:t>9</w:t>
            </w:r>
          </w:p>
        </w:tc>
        <w:tc>
          <w:tcPr>
            <w:tcW w:w="541" w:type="pct"/>
            <w:tcBorders>
              <w:top w:val="single" w:sz="4" w:space="0" w:color="auto"/>
              <w:left w:val="nil"/>
              <w:bottom w:val="single" w:sz="4" w:space="0" w:color="auto"/>
              <w:right w:val="single" w:sz="4" w:space="0" w:color="auto"/>
            </w:tcBorders>
            <w:shd w:val="clear" w:color="000000" w:fill="C5D9F1"/>
            <w:vAlign w:val="center"/>
            <w:hideMark/>
          </w:tcPr>
          <w:p w:rsidR="006A4E08" w:rsidRPr="006A4E08" w:rsidRDefault="006A4E08" w:rsidP="006A4E08">
            <w:pPr>
              <w:spacing w:after="0"/>
              <w:jc w:val="center"/>
              <w:rPr>
                <w:rFonts w:eastAsia="Times New Roman" w:cs="Arial"/>
                <w:b/>
                <w:bCs/>
                <w:sz w:val="16"/>
                <w:szCs w:val="16"/>
                <w:lang w:eastAsia="da-DK"/>
              </w:rPr>
            </w:pPr>
            <w:r w:rsidRPr="006A4E08">
              <w:rPr>
                <w:rFonts w:eastAsia="Times New Roman" w:cs="Arial"/>
                <w:b/>
                <w:bCs/>
                <w:sz w:val="16"/>
                <w:szCs w:val="16"/>
                <w:lang w:eastAsia="da-DK"/>
              </w:rPr>
              <w:t>Tillægsbevilling /Omplacering</w:t>
            </w:r>
          </w:p>
        </w:tc>
        <w:tc>
          <w:tcPr>
            <w:tcW w:w="457" w:type="pct"/>
            <w:tcBorders>
              <w:top w:val="single" w:sz="4" w:space="0" w:color="auto"/>
              <w:left w:val="nil"/>
              <w:bottom w:val="single" w:sz="4" w:space="0" w:color="auto"/>
              <w:right w:val="single" w:sz="4" w:space="0" w:color="auto"/>
            </w:tcBorders>
            <w:shd w:val="clear" w:color="000000" w:fill="C5D9F1"/>
            <w:vAlign w:val="center"/>
            <w:hideMark/>
          </w:tcPr>
          <w:p w:rsidR="006A4E08" w:rsidRPr="006A4E08" w:rsidRDefault="006A4E08" w:rsidP="006A4E08">
            <w:pPr>
              <w:spacing w:after="0"/>
              <w:jc w:val="center"/>
              <w:rPr>
                <w:rFonts w:eastAsia="Times New Roman" w:cs="Arial"/>
                <w:b/>
                <w:bCs/>
                <w:sz w:val="16"/>
                <w:szCs w:val="16"/>
                <w:lang w:eastAsia="da-DK"/>
              </w:rPr>
            </w:pPr>
            <w:r w:rsidRPr="006A4E08">
              <w:rPr>
                <w:rFonts w:eastAsia="Times New Roman" w:cs="Arial"/>
                <w:b/>
                <w:bCs/>
                <w:sz w:val="16"/>
                <w:szCs w:val="16"/>
                <w:lang w:eastAsia="da-DK"/>
              </w:rPr>
              <w:t>Korr. v. Budget</w:t>
            </w:r>
          </w:p>
        </w:tc>
        <w:tc>
          <w:tcPr>
            <w:tcW w:w="457" w:type="pct"/>
            <w:tcBorders>
              <w:top w:val="single" w:sz="4" w:space="0" w:color="auto"/>
              <w:left w:val="nil"/>
              <w:bottom w:val="single" w:sz="4" w:space="0" w:color="auto"/>
              <w:right w:val="single" w:sz="4" w:space="0" w:color="auto"/>
            </w:tcBorders>
            <w:shd w:val="clear" w:color="000000" w:fill="C5D9F1"/>
            <w:vAlign w:val="center"/>
            <w:hideMark/>
          </w:tcPr>
          <w:p w:rsidR="006A4E08" w:rsidRPr="006A4E08" w:rsidRDefault="006A4E08" w:rsidP="006A4E08">
            <w:pPr>
              <w:spacing w:after="0"/>
              <w:jc w:val="center"/>
              <w:rPr>
                <w:rFonts w:eastAsia="Times New Roman" w:cs="Arial"/>
                <w:b/>
                <w:bCs/>
                <w:sz w:val="16"/>
                <w:szCs w:val="16"/>
                <w:lang w:eastAsia="da-DK"/>
              </w:rPr>
            </w:pPr>
            <w:r w:rsidRPr="006A4E08">
              <w:rPr>
                <w:rFonts w:eastAsia="Times New Roman" w:cs="Arial"/>
                <w:b/>
                <w:bCs/>
                <w:sz w:val="16"/>
                <w:szCs w:val="16"/>
                <w:lang w:eastAsia="da-DK"/>
              </w:rPr>
              <w:t>Regnskab 2019</w:t>
            </w:r>
          </w:p>
        </w:tc>
        <w:tc>
          <w:tcPr>
            <w:tcW w:w="505" w:type="pct"/>
            <w:tcBorders>
              <w:top w:val="single" w:sz="4" w:space="0" w:color="auto"/>
              <w:left w:val="nil"/>
              <w:bottom w:val="single" w:sz="4" w:space="0" w:color="auto"/>
              <w:right w:val="single" w:sz="4" w:space="0" w:color="auto"/>
            </w:tcBorders>
            <w:shd w:val="clear" w:color="000000" w:fill="C5D9F1"/>
            <w:vAlign w:val="center"/>
            <w:hideMark/>
          </w:tcPr>
          <w:p w:rsidR="006A4E08" w:rsidRPr="006A4E08" w:rsidRDefault="006A4E08" w:rsidP="006A4E08">
            <w:pPr>
              <w:spacing w:after="0"/>
              <w:jc w:val="center"/>
              <w:rPr>
                <w:rFonts w:eastAsia="Times New Roman" w:cs="Arial"/>
                <w:b/>
                <w:bCs/>
                <w:sz w:val="16"/>
                <w:szCs w:val="16"/>
                <w:lang w:eastAsia="da-DK"/>
              </w:rPr>
            </w:pPr>
            <w:r w:rsidRPr="006A4E08">
              <w:rPr>
                <w:rFonts w:eastAsia="Times New Roman" w:cs="Arial"/>
                <w:b/>
                <w:bCs/>
                <w:sz w:val="16"/>
                <w:szCs w:val="16"/>
                <w:lang w:eastAsia="da-DK"/>
              </w:rPr>
              <w:t>Over-/underskud</w:t>
            </w:r>
          </w:p>
        </w:tc>
      </w:tr>
      <w:tr w:rsidR="006A4E08" w:rsidRPr="006A4E08" w:rsidTr="006A4E08">
        <w:trPr>
          <w:trHeight w:val="300"/>
        </w:trPr>
        <w:tc>
          <w:tcPr>
            <w:tcW w:w="2125" w:type="pct"/>
            <w:tcBorders>
              <w:top w:val="nil"/>
              <w:left w:val="single" w:sz="4" w:space="0" w:color="auto"/>
              <w:bottom w:val="single" w:sz="4" w:space="0" w:color="auto"/>
              <w:right w:val="single" w:sz="4" w:space="0" w:color="auto"/>
            </w:tcBorders>
            <w:shd w:val="clear" w:color="auto" w:fill="auto"/>
            <w:noWrap/>
            <w:vAlign w:val="bottom"/>
            <w:hideMark/>
          </w:tcPr>
          <w:p w:rsidR="006A4E08" w:rsidRPr="006A4E08" w:rsidRDefault="006A4E08" w:rsidP="006A4E08">
            <w:pPr>
              <w:spacing w:after="0"/>
              <w:rPr>
                <w:rFonts w:eastAsia="Times New Roman" w:cs="Arial"/>
                <w:color w:val="000000"/>
                <w:sz w:val="16"/>
                <w:szCs w:val="16"/>
                <w:lang w:eastAsia="da-DK"/>
              </w:rPr>
            </w:pPr>
            <w:r w:rsidRPr="006A4E08">
              <w:rPr>
                <w:rFonts w:eastAsia="Times New Roman" w:cs="Arial"/>
                <w:color w:val="000000"/>
                <w:sz w:val="16"/>
                <w:szCs w:val="16"/>
                <w:lang w:eastAsia="da-DK"/>
              </w:rPr>
              <w:t>4 Renter</w:t>
            </w:r>
          </w:p>
        </w:tc>
        <w:tc>
          <w:tcPr>
            <w:tcW w:w="457" w:type="pct"/>
            <w:tcBorders>
              <w:top w:val="nil"/>
              <w:left w:val="nil"/>
              <w:bottom w:val="single" w:sz="4" w:space="0" w:color="auto"/>
              <w:right w:val="single" w:sz="4" w:space="0" w:color="auto"/>
            </w:tcBorders>
            <w:shd w:val="clear" w:color="auto" w:fill="auto"/>
            <w:noWrap/>
            <w:vAlign w:val="bottom"/>
            <w:hideMark/>
          </w:tcPr>
          <w:p w:rsidR="006A4E08" w:rsidRPr="006A4E08" w:rsidRDefault="006A4E08" w:rsidP="006A4E08">
            <w:pPr>
              <w:spacing w:after="0"/>
              <w:jc w:val="right"/>
              <w:rPr>
                <w:rFonts w:eastAsia="Times New Roman" w:cs="Arial"/>
                <w:color w:val="000000"/>
                <w:sz w:val="16"/>
                <w:szCs w:val="16"/>
                <w:lang w:eastAsia="da-DK"/>
              </w:rPr>
            </w:pPr>
            <w:r w:rsidRPr="006A4E08">
              <w:rPr>
                <w:rFonts w:eastAsia="Times New Roman" w:cs="Arial"/>
                <w:color w:val="000000"/>
                <w:sz w:val="16"/>
                <w:szCs w:val="16"/>
                <w:lang w:eastAsia="da-DK"/>
              </w:rPr>
              <w:t>-7.409</w:t>
            </w:r>
          </w:p>
        </w:tc>
        <w:tc>
          <w:tcPr>
            <w:tcW w:w="457" w:type="pct"/>
            <w:tcBorders>
              <w:top w:val="nil"/>
              <w:left w:val="nil"/>
              <w:bottom w:val="single" w:sz="4" w:space="0" w:color="auto"/>
              <w:right w:val="single" w:sz="4" w:space="0" w:color="auto"/>
            </w:tcBorders>
            <w:shd w:val="clear" w:color="auto" w:fill="auto"/>
            <w:noWrap/>
            <w:vAlign w:val="bottom"/>
            <w:hideMark/>
          </w:tcPr>
          <w:p w:rsidR="006A4E08" w:rsidRPr="006A4E08" w:rsidRDefault="006A4E08" w:rsidP="006A4E08">
            <w:pPr>
              <w:spacing w:after="0"/>
              <w:jc w:val="right"/>
              <w:rPr>
                <w:rFonts w:eastAsia="Times New Roman" w:cs="Arial"/>
                <w:color w:val="000000"/>
                <w:sz w:val="16"/>
                <w:szCs w:val="16"/>
                <w:lang w:eastAsia="da-DK"/>
              </w:rPr>
            </w:pPr>
            <w:r w:rsidRPr="006A4E08">
              <w:rPr>
                <w:rFonts w:eastAsia="Times New Roman" w:cs="Arial"/>
                <w:color w:val="000000"/>
                <w:sz w:val="16"/>
                <w:szCs w:val="16"/>
                <w:lang w:eastAsia="da-DK"/>
              </w:rPr>
              <w:t>4.861</w:t>
            </w:r>
          </w:p>
        </w:tc>
        <w:tc>
          <w:tcPr>
            <w:tcW w:w="541" w:type="pct"/>
            <w:tcBorders>
              <w:top w:val="nil"/>
              <w:left w:val="nil"/>
              <w:bottom w:val="single" w:sz="4" w:space="0" w:color="auto"/>
              <w:right w:val="single" w:sz="4" w:space="0" w:color="auto"/>
            </w:tcBorders>
            <w:shd w:val="clear" w:color="auto" w:fill="auto"/>
            <w:noWrap/>
            <w:vAlign w:val="bottom"/>
            <w:hideMark/>
          </w:tcPr>
          <w:p w:rsidR="006A4E08" w:rsidRPr="006A4E08" w:rsidRDefault="006A4E08" w:rsidP="006A4E08">
            <w:pPr>
              <w:spacing w:after="0"/>
              <w:jc w:val="right"/>
              <w:rPr>
                <w:rFonts w:eastAsia="Times New Roman" w:cs="Arial"/>
                <w:color w:val="000000"/>
                <w:sz w:val="16"/>
                <w:szCs w:val="16"/>
                <w:lang w:eastAsia="da-DK"/>
              </w:rPr>
            </w:pPr>
            <w:r w:rsidRPr="006A4E08">
              <w:rPr>
                <w:rFonts w:eastAsia="Times New Roman" w:cs="Arial"/>
                <w:color w:val="000000"/>
                <w:sz w:val="16"/>
                <w:szCs w:val="16"/>
                <w:lang w:eastAsia="da-DK"/>
              </w:rPr>
              <w:t>189</w:t>
            </w:r>
          </w:p>
        </w:tc>
        <w:tc>
          <w:tcPr>
            <w:tcW w:w="457" w:type="pct"/>
            <w:tcBorders>
              <w:top w:val="nil"/>
              <w:left w:val="nil"/>
              <w:bottom w:val="single" w:sz="4" w:space="0" w:color="auto"/>
              <w:right w:val="single" w:sz="4" w:space="0" w:color="auto"/>
            </w:tcBorders>
            <w:shd w:val="clear" w:color="auto" w:fill="auto"/>
            <w:noWrap/>
            <w:vAlign w:val="bottom"/>
            <w:hideMark/>
          </w:tcPr>
          <w:p w:rsidR="006A4E08" w:rsidRPr="006A4E08" w:rsidRDefault="006A4E08" w:rsidP="006A4E08">
            <w:pPr>
              <w:spacing w:after="0"/>
              <w:jc w:val="right"/>
              <w:rPr>
                <w:rFonts w:eastAsia="Times New Roman" w:cs="Arial"/>
                <w:color w:val="000000"/>
                <w:sz w:val="16"/>
                <w:szCs w:val="16"/>
                <w:lang w:eastAsia="da-DK"/>
              </w:rPr>
            </w:pPr>
            <w:r w:rsidRPr="006A4E08">
              <w:rPr>
                <w:rFonts w:eastAsia="Times New Roman" w:cs="Arial"/>
                <w:color w:val="000000"/>
                <w:sz w:val="16"/>
                <w:szCs w:val="16"/>
                <w:lang w:eastAsia="da-DK"/>
              </w:rPr>
              <w:t>5.050</w:t>
            </w:r>
          </w:p>
        </w:tc>
        <w:tc>
          <w:tcPr>
            <w:tcW w:w="457" w:type="pct"/>
            <w:tcBorders>
              <w:top w:val="nil"/>
              <w:left w:val="nil"/>
              <w:bottom w:val="single" w:sz="4" w:space="0" w:color="auto"/>
              <w:right w:val="single" w:sz="4" w:space="0" w:color="auto"/>
            </w:tcBorders>
            <w:shd w:val="clear" w:color="auto" w:fill="auto"/>
            <w:noWrap/>
            <w:vAlign w:val="bottom"/>
            <w:hideMark/>
          </w:tcPr>
          <w:p w:rsidR="006A4E08" w:rsidRPr="006A4E08" w:rsidRDefault="003351B4" w:rsidP="006A4E08">
            <w:pPr>
              <w:spacing w:after="0"/>
              <w:jc w:val="right"/>
              <w:rPr>
                <w:rFonts w:eastAsia="Times New Roman" w:cs="Arial"/>
                <w:color w:val="000000"/>
                <w:sz w:val="16"/>
                <w:szCs w:val="16"/>
                <w:lang w:eastAsia="da-DK"/>
              </w:rPr>
            </w:pPr>
            <w:r>
              <w:rPr>
                <w:rFonts w:eastAsia="Times New Roman" w:cs="Arial"/>
                <w:color w:val="000000"/>
                <w:sz w:val="16"/>
                <w:szCs w:val="16"/>
                <w:lang w:eastAsia="da-DK"/>
              </w:rPr>
              <w:t>9.739</w:t>
            </w:r>
          </w:p>
        </w:tc>
        <w:tc>
          <w:tcPr>
            <w:tcW w:w="505" w:type="pct"/>
            <w:tcBorders>
              <w:top w:val="nil"/>
              <w:left w:val="nil"/>
              <w:bottom w:val="single" w:sz="4" w:space="0" w:color="auto"/>
              <w:right w:val="single" w:sz="4" w:space="0" w:color="auto"/>
            </w:tcBorders>
            <w:shd w:val="clear" w:color="auto" w:fill="auto"/>
            <w:noWrap/>
            <w:vAlign w:val="bottom"/>
            <w:hideMark/>
          </w:tcPr>
          <w:p w:rsidR="006A4E08" w:rsidRPr="006A4E08" w:rsidRDefault="003351B4" w:rsidP="006A4E08">
            <w:pPr>
              <w:spacing w:after="0"/>
              <w:jc w:val="right"/>
              <w:rPr>
                <w:rFonts w:eastAsia="Times New Roman" w:cs="Arial"/>
                <w:color w:val="000000"/>
                <w:sz w:val="16"/>
                <w:szCs w:val="16"/>
                <w:lang w:eastAsia="da-DK"/>
              </w:rPr>
            </w:pPr>
            <w:r>
              <w:rPr>
                <w:rFonts w:eastAsia="Times New Roman" w:cs="Arial"/>
                <w:color w:val="000000"/>
                <w:sz w:val="16"/>
                <w:szCs w:val="16"/>
                <w:lang w:eastAsia="da-DK"/>
              </w:rPr>
              <w:t>-4.689</w:t>
            </w:r>
          </w:p>
        </w:tc>
      </w:tr>
      <w:tr w:rsidR="006A4E08" w:rsidRPr="006A4E08" w:rsidTr="006A4E08">
        <w:trPr>
          <w:trHeight w:val="300"/>
        </w:trPr>
        <w:tc>
          <w:tcPr>
            <w:tcW w:w="2125" w:type="pct"/>
            <w:tcBorders>
              <w:top w:val="nil"/>
              <w:left w:val="single" w:sz="4" w:space="0" w:color="auto"/>
              <w:bottom w:val="single" w:sz="4" w:space="0" w:color="auto"/>
              <w:right w:val="single" w:sz="4" w:space="0" w:color="auto"/>
            </w:tcBorders>
            <w:shd w:val="clear" w:color="auto" w:fill="auto"/>
            <w:noWrap/>
            <w:vAlign w:val="bottom"/>
            <w:hideMark/>
          </w:tcPr>
          <w:p w:rsidR="006A4E08" w:rsidRPr="006A4E08" w:rsidRDefault="006A4E08" w:rsidP="006A4E08">
            <w:pPr>
              <w:spacing w:after="0"/>
              <w:rPr>
                <w:rFonts w:eastAsia="Times New Roman" w:cs="Arial"/>
                <w:color w:val="000000"/>
                <w:sz w:val="16"/>
                <w:szCs w:val="16"/>
                <w:lang w:eastAsia="da-DK"/>
              </w:rPr>
            </w:pPr>
            <w:r w:rsidRPr="006A4E08">
              <w:rPr>
                <w:rFonts w:eastAsia="Times New Roman" w:cs="Arial"/>
                <w:color w:val="000000"/>
                <w:sz w:val="16"/>
                <w:szCs w:val="16"/>
                <w:lang w:eastAsia="da-DK"/>
              </w:rPr>
              <w:t>5 Balanceforskydninger</w:t>
            </w:r>
          </w:p>
        </w:tc>
        <w:tc>
          <w:tcPr>
            <w:tcW w:w="457" w:type="pct"/>
            <w:tcBorders>
              <w:top w:val="nil"/>
              <w:left w:val="nil"/>
              <w:bottom w:val="single" w:sz="4" w:space="0" w:color="auto"/>
              <w:right w:val="single" w:sz="4" w:space="0" w:color="auto"/>
            </w:tcBorders>
            <w:shd w:val="clear" w:color="auto" w:fill="auto"/>
            <w:noWrap/>
            <w:vAlign w:val="bottom"/>
            <w:hideMark/>
          </w:tcPr>
          <w:p w:rsidR="006A4E08" w:rsidRPr="006A4E08" w:rsidRDefault="006A4E08" w:rsidP="006A4E08">
            <w:pPr>
              <w:spacing w:after="0"/>
              <w:jc w:val="right"/>
              <w:rPr>
                <w:rFonts w:eastAsia="Times New Roman" w:cs="Arial"/>
                <w:color w:val="000000"/>
                <w:sz w:val="16"/>
                <w:szCs w:val="16"/>
                <w:lang w:eastAsia="da-DK"/>
              </w:rPr>
            </w:pPr>
            <w:r w:rsidRPr="006A4E08">
              <w:rPr>
                <w:rFonts w:eastAsia="Times New Roman" w:cs="Arial"/>
                <w:color w:val="000000"/>
                <w:sz w:val="16"/>
                <w:szCs w:val="16"/>
                <w:lang w:eastAsia="da-DK"/>
              </w:rPr>
              <w:t>1.498</w:t>
            </w:r>
          </w:p>
        </w:tc>
        <w:tc>
          <w:tcPr>
            <w:tcW w:w="457" w:type="pct"/>
            <w:tcBorders>
              <w:top w:val="nil"/>
              <w:left w:val="nil"/>
              <w:bottom w:val="single" w:sz="4" w:space="0" w:color="auto"/>
              <w:right w:val="single" w:sz="4" w:space="0" w:color="auto"/>
            </w:tcBorders>
            <w:shd w:val="clear" w:color="auto" w:fill="auto"/>
            <w:noWrap/>
            <w:vAlign w:val="bottom"/>
            <w:hideMark/>
          </w:tcPr>
          <w:p w:rsidR="006A4E08" w:rsidRPr="006A4E08" w:rsidRDefault="006A4E08" w:rsidP="006A4E08">
            <w:pPr>
              <w:spacing w:after="0"/>
              <w:jc w:val="right"/>
              <w:rPr>
                <w:rFonts w:eastAsia="Times New Roman" w:cs="Arial"/>
                <w:color w:val="000000"/>
                <w:sz w:val="16"/>
                <w:szCs w:val="16"/>
                <w:lang w:eastAsia="da-DK"/>
              </w:rPr>
            </w:pPr>
            <w:r w:rsidRPr="006A4E08">
              <w:rPr>
                <w:rFonts w:eastAsia="Times New Roman" w:cs="Arial"/>
                <w:color w:val="000000"/>
                <w:sz w:val="16"/>
                <w:szCs w:val="16"/>
                <w:lang w:eastAsia="da-DK"/>
              </w:rPr>
              <w:t>-106.514</w:t>
            </w:r>
          </w:p>
        </w:tc>
        <w:tc>
          <w:tcPr>
            <w:tcW w:w="541" w:type="pct"/>
            <w:tcBorders>
              <w:top w:val="nil"/>
              <w:left w:val="nil"/>
              <w:bottom w:val="single" w:sz="4" w:space="0" w:color="auto"/>
              <w:right w:val="single" w:sz="4" w:space="0" w:color="auto"/>
            </w:tcBorders>
            <w:shd w:val="clear" w:color="auto" w:fill="auto"/>
            <w:noWrap/>
            <w:vAlign w:val="bottom"/>
            <w:hideMark/>
          </w:tcPr>
          <w:p w:rsidR="006A4E08" w:rsidRPr="006A4E08" w:rsidRDefault="006A4E08" w:rsidP="006A4E08">
            <w:pPr>
              <w:spacing w:after="0"/>
              <w:jc w:val="right"/>
              <w:rPr>
                <w:rFonts w:eastAsia="Times New Roman" w:cs="Arial"/>
                <w:color w:val="000000"/>
                <w:sz w:val="16"/>
                <w:szCs w:val="16"/>
                <w:lang w:eastAsia="da-DK"/>
              </w:rPr>
            </w:pPr>
            <w:r w:rsidRPr="006A4E08">
              <w:rPr>
                <w:rFonts w:eastAsia="Times New Roman" w:cs="Arial"/>
                <w:color w:val="000000"/>
                <w:sz w:val="16"/>
                <w:szCs w:val="16"/>
                <w:lang w:eastAsia="da-DK"/>
              </w:rPr>
              <w:t>1.550</w:t>
            </w:r>
          </w:p>
        </w:tc>
        <w:tc>
          <w:tcPr>
            <w:tcW w:w="457" w:type="pct"/>
            <w:tcBorders>
              <w:top w:val="nil"/>
              <w:left w:val="nil"/>
              <w:bottom w:val="single" w:sz="4" w:space="0" w:color="auto"/>
              <w:right w:val="single" w:sz="4" w:space="0" w:color="auto"/>
            </w:tcBorders>
            <w:shd w:val="clear" w:color="auto" w:fill="auto"/>
            <w:noWrap/>
            <w:vAlign w:val="bottom"/>
            <w:hideMark/>
          </w:tcPr>
          <w:p w:rsidR="006A4E08" w:rsidRPr="006A4E08" w:rsidRDefault="006A4E08" w:rsidP="006A4E08">
            <w:pPr>
              <w:spacing w:after="0"/>
              <w:jc w:val="right"/>
              <w:rPr>
                <w:rFonts w:eastAsia="Times New Roman" w:cs="Arial"/>
                <w:color w:val="000000"/>
                <w:sz w:val="16"/>
                <w:szCs w:val="16"/>
                <w:lang w:eastAsia="da-DK"/>
              </w:rPr>
            </w:pPr>
            <w:r w:rsidRPr="006A4E08">
              <w:rPr>
                <w:rFonts w:eastAsia="Times New Roman" w:cs="Arial"/>
                <w:color w:val="000000"/>
                <w:sz w:val="16"/>
                <w:szCs w:val="16"/>
                <w:lang w:eastAsia="da-DK"/>
              </w:rPr>
              <w:t>-104.964</w:t>
            </w:r>
          </w:p>
        </w:tc>
        <w:tc>
          <w:tcPr>
            <w:tcW w:w="457" w:type="pct"/>
            <w:tcBorders>
              <w:top w:val="nil"/>
              <w:left w:val="nil"/>
              <w:bottom w:val="single" w:sz="4" w:space="0" w:color="auto"/>
              <w:right w:val="single" w:sz="4" w:space="0" w:color="auto"/>
            </w:tcBorders>
            <w:shd w:val="clear" w:color="auto" w:fill="auto"/>
            <w:noWrap/>
            <w:vAlign w:val="bottom"/>
            <w:hideMark/>
          </w:tcPr>
          <w:p w:rsidR="006A4E08" w:rsidRPr="006A4E08" w:rsidRDefault="000C11C3" w:rsidP="006A4E08">
            <w:pPr>
              <w:spacing w:after="0"/>
              <w:jc w:val="right"/>
              <w:rPr>
                <w:rFonts w:eastAsia="Times New Roman" w:cs="Arial"/>
                <w:color w:val="000000"/>
                <w:sz w:val="16"/>
                <w:szCs w:val="16"/>
                <w:lang w:eastAsia="da-DK"/>
              </w:rPr>
            </w:pPr>
            <w:r>
              <w:rPr>
                <w:rFonts w:eastAsia="Times New Roman" w:cs="Arial"/>
                <w:color w:val="000000"/>
                <w:sz w:val="16"/>
                <w:szCs w:val="16"/>
                <w:lang w:eastAsia="da-DK"/>
              </w:rPr>
              <w:t>-155.129</w:t>
            </w:r>
          </w:p>
        </w:tc>
        <w:tc>
          <w:tcPr>
            <w:tcW w:w="505" w:type="pct"/>
            <w:tcBorders>
              <w:top w:val="nil"/>
              <w:left w:val="nil"/>
              <w:bottom w:val="single" w:sz="4" w:space="0" w:color="auto"/>
              <w:right w:val="single" w:sz="4" w:space="0" w:color="auto"/>
            </w:tcBorders>
            <w:shd w:val="clear" w:color="auto" w:fill="auto"/>
            <w:noWrap/>
            <w:vAlign w:val="bottom"/>
            <w:hideMark/>
          </w:tcPr>
          <w:p w:rsidR="006A4E08" w:rsidRPr="006A4E08" w:rsidRDefault="000C11C3" w:rsidP="006A4E08">
            <w:pPr>
              <w:spacing w:after="0"/>
              <w:jc w:val="right"/>
              <w:rPr>
                <w:rFonts w:eastAsia="Times New Roman" w:cs="Arial"/>
                <w:color w:val="000000"/>
                <w:sz w:val="16"/>
                <w:szCs w:val="16"/>
                <w:lang w:eastAsia="da-DK"/>
              </w:rPr>
            </w:pPr>
            <w:r>
              <w:rPr>
                <w:rFonts w:eastAsia="Times New Roman" w:cs="Arial"/>
                <w:color w:val="000000"/>
                <w:sz w:val="16"/>
                <w:szCs w:val="16"/>
                <w:lang w:eastAsia="da-DK"/>
              </w:rPr>
              <w:t>50.165</w:t>
            </w:r>
          </w:p>
        </w:tc>
      </w:tr>
      <w:tr w:rsidR="006A4E08" w:rsidRPr="006A4E08" w:rsidTr="006A4E08">
        <w:trPr>
          <w:trHeight w:val="300"/>
        </w:trPr>
        <w:tc>
          <w:tcPr>
            <w:tcW w:w="2125" w:type="pct"/>
            <w:tcBorders>
              <w:top w:val="nil"/>
              <w:left w:val="single" w:sz="4" w:space="0" w:color="auto"/>
              <w:bottom w:val="single" w:sz="4" w:space="0" w:color="auto"/>
              <w:right w:val="single" w:sz="4" w:space="0" w:color="auto"/>
            </w:tcBorders>
            <w:shd w:val="clear" w:color="auto" w:fill="auto"/>
            <w:noWrap/>
            <w:vAlign w:val="bottom"/>
            <w:hideMark/>
          </w:tcPr>
          <w:p w:rsidR="006A4E08" w:rsidRPr="006A4E08" w:rsidRDefault="006A4E08" w:rsidP="006A4E08">
            <w:pPr>
              <w:spacing w:after="0"/>
              <w:rPr>
                <w:rFonts w:eastAsia="Times New Roman" w:cs="Arial"/>
                <w:color w:val="000000"/>
                <w:sz w:val="16"/>
                <w:szCs w:val="16"/>
                <w:lang w:eastAsia="da-DK"/>
              </w:rPr>
            </w:pPr>
            <w:r w:rsidRPr="006A4E08">
              <w:rPr>
                <w:rFonts w:eastAsia="Times New Roman" w:cs="Arial"/>
                <w:color w:val="000000"/>
                <w:sz w:val="16"/>
                <w:szCs w:val="16"/>
                <w:lang w:eastAsia="da-DK"/>
              </w:rPr>
              <w:t>6 Afdrag på lån og leasingforpligtelser</w:t>
            </w:r>
          </w:p>
        </w:tc>
        <w:tc>
          <w:tcPr>
            <w:tcW w:w="457" w:type="pct"/>
            <w:tcBorders>
              <w:top w:val="nil"/>
              <w:left w:val="nil"/>
              <w:bottom w:val="single" w:sz="4" w:space="0" w:color="auto"/>
              <w:right w:val="single" w:sz="4" w:space="0" w:color="auto"/>
            </w:tcBorders>
            <w:shd w:val="clear" w:color="auto" w:fill="auto"/>
            <w:noWrap/>
            <w:vAlign w:val="bottom"/>
            <w:hideMark/>
          </w:tcPr>
          <w:p w:rsidR="006A4E08" w:rsidRPr="006A4E08" w:rsidRDefault="006A4E08" w:rsidP="006A4E08">
            <w:pPr>
              <w:spacing w:after="0"/>
              <w:jc w:val="right"/>
              <w:rPr>
                <w:rFonts w:eastAsia="Times New Roman" w:cs="Arial"/>
                <w:color w:val="000000"/>
                <w:sz w:val="16"/>
                <w:szCs w:val="16"/>
                <w:lang w:eastAsia="da-DK"/>
              </w:rPr>
            </w:pPr>
            <w:r w:rsidRPr="006A4E08">
              <w:rPr>
                <w:rFonts w:eastAsia="Times New Roman" w:cs="Arial"/>
                <w:color w:val="000000"/>
                <w:sz w:val="16"/>
                <w:szCs w:val="16"/>
                <w:lang w:eastAsia="da-DK"/>
              </w:rPr>
              <w:t>48.825</w:t>
            </w:r>
          </w:p>
        </w:tc>
        <w:tc>
          <w:tcPr>
            <w:tcW w:w="457" w:type="pct"/>
            <w:tcBorders>
              <w:top w:val="nil"/>
              <w:left w:val="nil"/>
              <w:bottom w:val="single" w:sz="4" w:space="0" w:color="auto"/>
              <w:right w:val="single" w:sz="4" w:space="0" w:color="auto"/>
            </w:tcBorders>
            <w:shd w:val="clear" w:color="auto" w:fill="auto"/>
            <w:noWrap/>
            <w:vAlign w:val="bottom"/>
            <w:hideMark/>
          </w:tcPr>
          <w:p w:rsidR="006A4E08" w:rsidRPr="006A4E08" w:rsidRDefault="000C11C3" w:rsidP="006A4E08">
            <w:pPr>
              <w:spacing w:after="0"/>
              <w:jc w:val="right"/>
              <w:rPr>
                <w:rFonts w:eastAsia="Times New Roman" w:cs="Arial"/>
                <w:color w:val="000000"/>
                <w:sz w:val="16"/>
                <w:szCs w:val="16"/>
                <w:lang w:eastAsia="da-DK"/>
              </w:rPr>
            </w:pPr>
            <w:r>
              <w:rPr>
                <w:rFonts w:eastAsia="Times New Roman" w:cs="Arial"/>
                <w:color w:val="000000"/>
                <w:sz w:val="16"/>
                <w:szCs w:val="16"/>
                <w:lang w:eastAsia="da-DK"/>
              </w:rPr>
              <w:t>73.522</w:t>
            </w:r>
          </w:p>
        </w:tc>
        <w:tc>
          <w:tcPr>
            <w:tcW w:w="541" w:type="pct"/>
            <w:tcBorders>
              <w:top w:val="nil"/>
              <w:left w:val="nil"/>
              <w:bottom w:val="single" w:sz="4" w:space="0" w:color="auto"/>
              <w:right w:val="single" w:sz="4" w:space="0" w:color="auto"/>
            </w:tcBorders>
            <w:shd w:val="clear" w:color="auto" w:fill="auto"/>
            <w:noWrap/>
            <w:vAlign w:val="bottom"/>
            <w:hideMark/>
          </w:tcPr>
          <w:p w:rsidR="006A4E08" w:rsidRPr="006A4E08" w:rsidRDefault="000C11C3" w:rsidP="006A4E08">
            <w:pPr>
              <w:spacing w:after="0"/>
              <w:jc w:val="right"/>
              <w:rPr>
                <w:rFonts w:eastAsia="Times New Roman" w:cs="Arial"/>
                <w:color w:val="000000"/>
                <w:sz w:val="16"/>
                <w:szCs w:val="16"/>
                <w:lang w:eastAsia="da-DK"/>
              </w:rPr>
            </w:pPr>
            <w:r>
              <w:rPr>
                <w:rFonts w:eastAsia="Times New Roman" w:cs="Arial"/>
                <w:color w:val="000000"/>
                <w:sz w:val="16"/>
                <w:szCs w:val="16"/>
                <w:lang w:eastAsia="da-DK"/>
              </w:rPr>
              <w:t>101.823</w:t>
            </w:r>
          </w:p>
        </w:tc>
        <w:tc>
          <w:tcPr>
            <w:tcW w:w="457" w:type="pct"/>
            <w:tcBorders>
              <w:top w:val="nil"/>
              <w:left w:val="nil"/>
              <w:bottom w:val="single" w:sz="4" w:space="0" w:color="auto"/>
              <w:right w:val="single" w:sz="4" w:space="0" w:color="auto"/>
            </w:tcBorders>
            <w:shd w:val="clear" w:color="auto" w:fill="auto"/>
            <w:noWrap/>
            <w:vAlign w:val="bottom"/>
            <w:hideMark/>
          </w:tcPr>
          <w:p w:rsidR="006A4E08" w:rsidRPr="006A4E08" w:rsidRDefault="001C1206" w:rsidP="006A4E08">
            <w:pPr>
              <w:spacing w:after="0"/>
              <w:jc w:val="right"/>
              <w:rPr>
                <w:rFonts w:eastAsia="Times New Roman" w:cs="Arial"/>
                <w:color w:val="000000"/>
                <w:sz w:val="16"/>
                <w:szCs w:val="16"/>
                <w:lang w:eastAsia="da-DK"/>
              </w:rPr>
            </w:pPr>
            <w:r>
              <w:rPr>
                <w:rFonts w:eastAsia="Times New Roman" w:cs="Arial"/>
                <w:color w:val="000000"/>
                <w:sz w:val="16"/>
                <w:szCs w:val="16"/>
                <w:lang w:eastAsia="da-DK"/>
              </w:rPr>
              <w:t>175.346</w:t>
            </w:r>
          </w:p>
        </w:tc>
        <w:tc>
          <w:tcPr>
            <w:tcW w:w="457" w:type="pct"/>
            <w:tcBorders>
              <w:top w:val="nil"/>
              <w:left w:val="nil"/>
              <w:bottom w:val="single" w:sz="4" w:space="0" w:color="auto"/>
              <w:right w:val="single" w:sz="4" w:space="0" w:color="auto"/>
            </w:tcBorders>
            <w:shd w:val="clear" w:color="auto" w:fill="auto"/>
            <w:noWrap/>
            <w:vAlign w:val="bottom"/>
            <w:hideMark/>
          </w:tcPr>
          <w:p w:rsidR="006A4E08" w:rsidRPr="006A4E08" w:rsidRDefault="001C1206" w:rsidP="006A4E08">
            <w:pPr>
              <w:spacing w:after="0"/>
              <w:jc w:val="right"/>
              <w:rPr>
                <w:rFonts w:eastAsia="Times New Roman" w:cs="Arial"/>
                <w:color w:val="000000"/>
                <w:sz w:val="16"/>
                <w:szCs w:val="16"/>
                <w:lang w:eastAsia="da-DK"/>
              </w:rPr>
            </w:pPr>
            <w:r>
              <w:rPr>
                <w:rFonts w:eastAsia="Times New Roman" w:cs="Arial"/>
                <w:color w:val="000000"/>
                <w:sz w:val="16"/>
                <w:szCs w:val="16"/>
                <w:lang w:eastAsia="da-DK"/>
              </w:rPr>
              <w:t>165.047</w:t>
            </w:r>
          </w:p>
        </w:tc>
        <w:tc>
          <w:tcPr>
            <w:tcW w:w="505" w:type="pct"/>
            <w:tcBorders>
              <w:top w:val="nil"/>
              <w:left w:val="nil"/>
              <w:bottom w:val="single" w:sz="4" w:space="0" w:color="auto"/>
              <w:right w:val="single" w:sz="4" w:space="0" w:color="auto"/>
            </w:tcBorders>
            <w:shd w:val="clear" w:color="auto" w:fill="auto"/>
            <w:noWrap/>
            <w:vAlign w:val="bottom"/>
            <w:hideMark/>
          </w:tcPr>
          <w:p w:rsidR="006A4E08" w:rsidRPr="006A4E08" w:rsidRDefault="001C1206" w:rsidP="006A4E08">
            <w:pPr>
              <w:spacing w:after="0"/>
              <w:jc w:val="right"/>
              <w:rPr>
                <w:rFonts w:eastAsia="Times New Roman" w:cs="Arial"/>
                <w:color w:val="000000"/>
                <w:sz w:val="16"/>
                <w:szCs w:val="16"/>
                <w:lang w:eastAsia="da-DK"/>
              </w:rPr>
            </w:pPr>
            <w:r>
              <w:rPr>
                <w:rFonts w:eastAsia="Times New Roman" w:cs="Arial"/>
                <w:color w:val="000000"/>
                <w:sz w:val="16"/>
                <w:szCs w:val="16"/>
                <w:lang w:eastAsia="da-DK"/>
              </w:rPr>
              <w:t>10.29</w:t>
            </w:r>
            <w:r w:rsidR="00C141DA">
              <w:rPr>
                <w:rFonts w:eastAsia="Times New Roman" w:cs="Arial"/>
                <w:color w:val="000000"/>
                <w:sz w:val="16"/>
                <w:szCs w:val="16"/>
                <w:lang w:eastAsia="da-DK"/>
              </w:rPr>
              <w:t>9</w:t>
            </w:r>
          </w:p>
        </w:tc>
      </w:tr>
      <w:tr w:rsidR="006A4E08" w:rsidRPr="006A4E08" w:rsidTr="006A4E08">
        <w:trPr>
          <w:trHeight w:val="300"/>
        </w:trPr>
        <w:tc>
          <w:tcPr>
            <w:tcW w:w="2125" w:type="pct"/>
            <w:tcBorders>
              <w:top w:val="nil"/>
              <w:left w:val="single" w:sz="4" w:space="0" w:color="auto"/>
              <w:bottom w:val="single" w:sz="4" w:space="0" w:color="auto"/>
              <w:right w:val="single" w:sz="4" w:space="0" w:color="auto"/>
            </w:tcBorders>
            <w:shd w:val="clear" w:color="auto" w:fill="auto"/>
            <w:noWrap/>
            <w:vAlign w:val="bottom"/>
            <w:hideMark/>
          </w:tcPr>
          <w:p w:rsidR="006A4E08" w:rsidRPr="006A4E08" w:rsidRDefault="006A4E08" w:rsidP="006A4E08">
            <w:pPr>
              <w:spacing w:after="0"/>
              <w:rPr>
                <w:rFonts w:eastAsia="Times New Roman" w:cs="Arial"/>
                <w:color w:val="000000"/>
                <w:sz w:val="16"/>
                <w:szCs w:val="16"/>
                <w:lang w:eastAsia="da-DK"/>
              </w:rPr>
            </w:pPr>
            <w:r w:rsidRPr="006A4E08">
              <w:rPr>
                <w:rFonts w:eastAsia="Times New Roman" w:cs="Arial"/>
                <w:color w:val="000000"/>
                <w:sz w:val="16"/>
                <w:szCs w:val="16"/>
                <w:lang w:eastAsia="da-DK"/>
              </w:rPr>
              <w:t>7 Finansiering</w:t>
            </w:r>
          </w:p>
        </w:tc>
        <w:tc>
          <w:tcPr>
            <w:tcW w:w="457" w:type="pct"/>
            <w:tcBorders>
              <w:top w:val="nil"/>
              <w:left w:val="nil"/>
              <w:bottom w:val="single" w:sz="4" w:space="0" w:color="auto"/>
              <w:right w:val="single" w:sz="4" w:space="0" w:color="auto"/>
            </w:tcBorders>
            <w:shd w:val="clear" w:color="auto" w:fill="auto"/>
            <w:noWrap/>
            <w:vAlign w:val="bottom"/>
            <w:hideMark/>
          </w:tcPr>
          <w:p w:rsidR="006A4E08" w:rsidRPr="006A4E08" w:rsidRDefault="006A4E08" w:rsidP="006A4E08">
            <w:pPr>
              <w:spacing w:after="0"/>
              <w:jc w:val="right"/>
              <w:rPr>
                <w:rFonts w:eastAsia="Times New Roman" w:cs="Arial"/>
                <w:color w:val="000000"/>
                <w:sz w:val="16"/>
                <w:szCs w:val="16"/>
                <w:lang w:eastAsia="da-DK"/>
              </w:rPr>
            </w:pPr>
            <w:r w:rsidRPr="006A4E08">
              <w:rPr>
                <w:rFonts w:eastAsia="Times New Roman" w:cs="Arial"/>
                <w:color w:val="000000"/>
                <w:sz w:val="16"/>
                <w:szCs w:val="16"/>
                <w:lang w:eastAsia="da-DK"/>
              </w:rPr>
              <w:t>-2.776.416</w:t>
            </w:r>
          </w:p>
        </w:tc>
        <w:tc>
          <w:tcPr>
            <w:tcW w:w="457" w:type="pct"/>
            <w:tcBorders>
              <w:top w:val="nil"/>
              <w:left w:val="nil"/>
              <w:bottom w:val="single" w:sz="4" w:space="0" w:color="auto"/>
              <w:right w:val="single" w:sz="4" w:space="0" w:color="auto"/>
            </w:tcBorders>
            <w:shd w:val="clear" w:color="auto" w:fill="auto"/>
            <w:noWrap/>
            <w:vAlign w:val="bottom"/>
            <w:hideMark/>
          </w:tcPr>
          <w:p w:rsidR="006A4E08" w:rsidRPr="006A4E08" w:rsidRDefault="009610B1" w:rsidP="006A4E08">
            <w:pPr>
              <w:spacing w:after="0"/>
              <w:jc w:val="right"/>
              <w:rPr>
                <w:rFonts w:eastAsia="Times New Roman" w:cs="Arial"/>
                <w:color w:val="000000"/>
                <w:sz w:val="16"/>
                <w:szCs w:val="16"/>
                <w:lang w:eastAsia="da-DK"/>
              </w:rPr>
            </w:pPr>
            <w:r>
              <w:rPr>
                <w:rFonts w:eastAsia="Times New Roman" w:cs="Arial"/>
                <w:color w:val="000000"/>
                <w:sz w:val="16"/>
                <w:szCs w:val="16"/>
                <w:lang w:eastAsia="da-DK"/>
              </w:rPr>
              <w:t>-2.872.219</w:t>
            </w:r>
          </w:p>
        </w:tc>
        <w:tc>
          <w:tcPr>
            <w:tcW w:w="541" w:type="pct"/>
            <w:tcBorders>
              <w:top w:val="nil"/>
              <w:left w:val="nil"/>
              <w:bottom w:val="single" w:sz="4" w:space="0" w:color="auto"/>
              <w:right w:val="single" w:sz="4" w:space="0" w:color="auto"/>
            </w:tcBorders>
            <w:shd w:val="clear" w:color="auto" w:fill="auto"/>
            <w:noWrap/>
            <w:vAlign w:val="bottom"/>
            <w:hideMark/>
          </w:tcPr>
          <w:p w:rsidR="006A4E08" w:rsidRPr="006A4E08" w:rsidRDefault="006A4E08" w:rsidP="006A4E08">
            <w:pPr>
              <w:spacing w:after="0"/>
              <w:jc w:val="right"/>
              <w:rPr>
                <w:rFonts w:eastAsia="Times New Roman" w:cs="Arial"/>
                <w:color w:val="000000"/>
                <w:sz w:val="16"/>
                <w:szCs w:val="16"/>
                <w:lang w:eastAsia="da-DK"/>
              </w:rPr>
            </w:pPr>
            <w:r w:rsidRPr="006A4E08">
              <w:rPr>
                <w:rFonts w:eastAsia="Times New Roman" w:cs="Arial"/>
                <w:color w:val="000000"/>
                <w:sz w:val="16"/>
                <w:szCs w:val="16"/>
                <w:lang w:eastAsia="da-DK"/>
              </w:rPr>
              <w:t>-885</w:t>
            </w:r>
          </w:p>
        </w:tc>
        <w:tc>
          <w:tcPr>
            <w:tcW w:w="457" w:type="pct"/>
            <w:tcBorders>
              <w:top w:val="nil"/>
              <w:left w:val="nil"/>
              <w:bottom w:val="single" w:sz="4" w:space="0" w:color="auto"/>
              <w:right w:val="single" w:sz="4" w:space="0" w:color="auto"/>
            </w:tcBorders>
            <w:shd w:val="clear" w:color="auto" w:fill="auto"/>
            <w:noWrap/>
            <w:vAlign w:val="bottom"/>
            <w:hideMark/>
          </w:tcPr>
          <w:p w:rsidR="006A4E08" w:rsidRPr="006A4E08" w:rsidRDefault="009610B1" w:rsidP="006A4E08">
            <w:pPr>
              <w:spacing w:after="0"/>
              <w:jc w:val="right"/>
              <w:rPr>
                <w:rFonts w:eastAsia="Times New Roman" w:cs="Arial"/>
                <w:color w:val="000000"/>
                <w:sz w:val="16"/>
                <w:szCs w:val="16"/>
                <w:lang w:eastAsia="da-DK"/>
              </w:rPr>
            </w:pPr>
            <w:r>
              <w:rPr>
                <w:rFonts w:eastAsia="Times New Roman" w:cs="Arial"/>
                <w:color w:val="000000"/>
                <w:sz w:val="16"/>
                <w:szCs w:val="16"/>
                <w:lang w:eastAsia="da-DK"/>
              </w:rPr>
              <w:t>-2.873.104</w:t>
            </w:r>
          </w:p>
        </w:tc>
        <w:tc>
          <w:tcPr>
            <w:tcW w:w="457" w:type="pct"/>
            <w:tcBorders>
              <w:top w:val="nil"/>
              <w:left w:val="nil"/>
              <w:bottom w:val="single" w:sz="4" w:space="0" w:color="auto"/>
              <w:right w:val="single" w:sz="4" w:space="0" w:color="auto"/>
            </w:tcBorders>
            <w:shd w:val="clear" w:color="auto" w:fill="auto"/>
            <w:noWrap/>
            <w:vAlign w:val="bottom"/>
            <w:hideMark/>
          </w:tcPr>
          <w:p w:rsidR="006A4E08" w:rsidRPr="006A4E08" w:rsidRDefault="001C1206" w:rsidP="006A4E08">
            <w:pPr>
              <w:spacing w:after="0"/>
              <w:jc w:val="right"/>
              <w:rPr>
                <w:rFonts w:eastAsia="Times New Roman" w:cs="Arial"/>
                <w:color w:val="000000"/>
                <w:sz w:val="16"/>
                <w:szCs w:val="16"/>
                <w:lang w:eastAsia="da-DK"/>
              </w:rPr>
            </w:pPr>
            <w:r>
              <w:rPr>
                <w:rFonts w:eastAsia="Times New Roman" w:cs="Arial"/>
                <w:color w:val="000000"/>
                <w:sz w:val="16"/>
                <w:szCs w:val="16"/>
                <w:lang w:eastAsia="da-DK"/>
              </w:rPr>
              <w:t>-2.864.881</w:t>
            </w:r>
          </w:p>
        </w:tc>
        <w:tc>
          <w:tcPr>
            <w:tcW w:w="505" w:type="pct"/>
            <w:tcBorders>
              <w:top w:val="nil"/>
              <w:left w:val="nil"/>
              <w:bottom w:val="single" w:sz="4" w:space="0" w:color="auto"/>
              <w:right w:val="single" w:sz="4" w:space="0" w:color="auto"/>
            </w:tcBorders>
            <w:shd w:val="clear" w:color="auto" w:fill="auto"/>
            <w:noWrap/>
            <w:vAlign w:val="bottom"/>
            <w:hideMark/>
          </w:tcPr>
          <w:p w:rsidR="006A4E08" w:rsidRPr="006A4E08" w:rsidRDefault="009610B1" w:rsidP="006A4E08">
            <w:pPr>
              <w:spacing w:after="0"/>
              <w:jc w:val="right"/>
              <w:rPr>
                <w:rFonts w:eastAsia="Times New Roman" w:cs="Arial"/>
                <w:color w:val="000000"/>
                <w:sz w:val="16"/>
                <w:szCs w:val="16"/>
                <w:lang w:eastAsia="da-DK"/>
              </w:rPr>
            </w:pPr>
            <w:r>
              <w:rPr>
                <w:rFonts w:eastAsia="Times New Roman" w:cs="Arial"/>
                <w:color w:val="000000"/>
                <w:sz w:val="16"/>
                <w:szCs w:val="16"/>
                <w:lang w:eastAsia="da-DK"/>
              </w:rPr>
              <w:t>-8.223</w:t>
            </w:r>
          </w:p>
        </w:tc>
      </w:tr>
      <w:tr w:rsidR="006A4E08" w:rsidRPr="006A4E08" w:rsidTr="006A4E08">
        <w:trPr>
          <w:trHeight w:val="300"/>
        </w:trPr>
        <w:tc>
          <w:tcPr>
            <w:tcW w:w="2125" w:type="pct"/>
            <w:tcBorders>
              <w:top w:val="nil"/>
              <w:left w:val="single" w:sz="4" w:space="0" w:color="auto"/>
              <w:bottom w:val="single" w:sz="4" w:space="0" w:color="auto"/>
              <w:right w:val="single" w:sz="4" w:space="0" w:color="auto"/>
            </w:tcBorders>
            <w:shd w:val="clear" w:color="auto" w:fill="auto"/>
            <w:vAlign w:val="bottom"/>
            <w:hideMark/>
          </w:tcPr>
          <w:p w:rsidR="006A4E08" w:rsidRPr="006A4E08" w:rsidRDefault="006A4E08" w:rsidP="006A4E08">
            <w:pPr>
              <w:spacing w:after="0"/>
              <w:rPr>
                <w:rFonts w:eastAsia="Times New Roman" w:cs="Arial"/>
                <w:b/>
                <w:bCs/>
                <w:sz w:val="16"/>
                <w:szCs w:val="16"/>
                <w:lang w:eastAsia="da-DK"/>
              </w:rPr>
            </w:pPr>
            <w:r w:rsidRPr="006A4E08">
              <w:rPr>
                <w:rFonts w:eastAsia="Times New Roman" w:cs="Arial"/>
                <w:b/>
                <w:bCs/>
                <w:sz w:val="16"/>
                <w:szCs w:val="16"/>
                <w:lang w:eastAsia="da-DK"/>
              </w:rPr>
              <w:t>I alt</w:t>
            </w:r>
          </w:p>
        </w:tc>
        <w:tc>
          <w:tcPr>
            <w:tcW w:w="457" w:type="pct"/>
            <w:tcBorders>
              <w:top w:val="nil"/>
              <w:left w:val="nil"/>
              <w:bottom w:val="single" w:sz="4" w:space="0" w:color="auto"/>
              <w:right w:val="single" w:sz="4" w:space="0" w:color="auto"/>
            </w:tcBorders>
            <w:shd w:val="clear" w:color="auto" w:fill="auto"/>
            <w:vAlign w:val="bottom"/>
            <w:hideMark/>
          </w:tcPr>
          <w:p w:rsidR="006A4E08" w:rsidRPr="006A4E08" w:rsidRDefault="006A4E08" w:rsidP="006A4E08">
            <w:pPr>
              <w:spacing w:after="0"/>
              <w:jc w:val="right"/>
              <w:rPr>
                <w:rFonts w:eastAsia="Times New Roman" w:cs="Arial"/>
                <w:b/>
                <w:bCs/>
                <w:sz w:val="16"/>
                <w:szCs w:val="16"/>
                <w:lang w:eastAsia="da-DK"/>
              </w:rPr>
            </w:pPr>
            <w:r w:rsidRPr="006A4E08">
              <w:rPr>
                <w:rFonts w:eastAsia="Times New Roman" w:cs="Arial"/>
                <w:b/>
                <w:bCs/>
                <w:sz w:val="16"/>
                <w:szCs w:val="16"/>
                <w:lang w:eastAsia="da-DK"/>
              </w:rPr>
              <w:t>-2.733.502</w:t>
            </w:r>
          </w:p>
        </w:tc>
        <w:tc>
          <w:tcPr>
            <w:tcW w:w="457" w:type="pct"/>
            <w:tcBorders>
              <w:top w:val="nil"/>
              <w:left w:val="nil"/>
              <w:bottom w:val="single" w:sz="4" w:space="0" w:color="auto"/>
              <w:right w:val="single" w:sz="4" w:space="0" w:color="auto"/>
            </w:tcBorders>
            <w:shd w:val="clear" w:color="auto" w:fill="auto"/>
            <w:vAlign w:val="bottom"/>
            <w:hideMark/>
          </w:tcPr>
          <w:p w:rsidR="006A4E08" w:rsidRPr="006A4E08" w:rsidRDefault="006A4E08" w:rsidP="006A4E08">
            <w:pPr>
              <w:spacing w:after="0"/>
              <w:jc w:val="right"/>
              <w:rPr>
                <w:rFonts w:eastAsia="Times New Roman" w:cs="Arial"/>
                <w:b/>
                <w:bCs/>
                <w:sz w:val="16"/>
                <w:szCs w:val="16"/>
                <w:lang w:eastAsia="da-DK"/>
              </w:rPr>
            </w:pPr>
            <w:r w:rsidRPr="006A4E08">
              <w:rPr>
                <w:rFonts w:eastAsia="Times New Roman" w:cs="Arial"/>
                <w:b/>
                <w:bCs/>
                <w:sz w:val="16"/>
                <w:szCs w:val="16"/>
                <w:lang w:eastAsia="da-DK"/>
              </w:rPr>
              <w:t>-2.900.423</w:t>
            </w:r>
          </w:p>
        </w:tc>
        <w:tc>
          <w:tcPr>
            <w:tcW w:w="541" w:type="pct"/>
            <w:tcBorders>
              <w:top w:val="nil"/>
              <w:left w:val="nil"/>
              <w:bottom w:val="single" w:sz="4" w:space="0" w:color="auto"/>
              <w:right w:val="single" w:sz="4" w:space="0" w:color="auto"/>
            </w:tcBorders>
            <w:shd w:val="clear" w:color="auto" w:fill="auto"/>
            <w:vAlign w:val="bottom"/>
            <w:hideMark/>
          </w:tcPr>
          <w:p w:rsidR="006A4E08" w:rsidRPr="006A4E08" w:rsidRDefault="001C1206" w:rsidP="006A4E08">
            <w:pPr>
              <w:spacing w:after="0"/>
              <w:jc w:val="right"/>
              <w:rPr>
                <w:rFonts w:eastAsia="Times New Roman" w:cs="Arial"/>
                <w:b/>
                <w:bCs/>
                <w:sz w:val="16"/>
                <w:szCs w:val="16"/>
                <w:lang w:eastAsia="da-DK"/>
              </w:rPr>
            </w:pPr>
            <w:r>
              <w:rPr>
                <w:rFonts w:eastAsia="Times New Roman" w:cs="Arial"/>
                <w:b/>
                <w:bCs/>
                <w:sz w:val="16"/>
                <w:szCs w:val="16"/>
                <w:lang w:eastAsia="da-DK"/>
              </w:rPr>
              <w:t>102.677</w:t>
            </w:r>
          </w:p>
        </w:tc>
        <w:tc>
          <w:tcPr>
            <w:tcW w:w="457" w:type="pct"/>
            <w:tcBorders>
              <w:top w:val="nil"/>
              <w:left w:val="nil"/>
              <w:bottom w:val="single" w:sz="4" w:space="0" w:color="auto"/>
              <w:right w:val="single" w:sz="4" w:space="0" w:color="auto"/>
            </w:tcBorders>
            <w:shd w:val="clear" w:color="auto" w:fill="auto"/>
            <w:vAlign w:val="bottom"/>
            <w:hideMark/>
          </w:tcPr>
          <w:p w:rsidR="006A4E08" w:rsidRPr="006A4E08" w:rsidRDefault="001C1206" w:rsidP="006A4E08">
            <w:pPr>
              <w:spacing w:after="0"/>
              <w:jc w:val="right"/>
              <w:rPr>
                <w:rFonts w:eastAsia="Times New Roman" w:cs="Arial"/>
                <w:b/>
                <w:bCs/>
                <w:sz w:val="16"/>
                <w:szCs w:val="16"/>
                <w:lang w:eastAsia="da-DK"/>
              </w:rPr>
            </w:pPr>
            <w:r>
              <w:rPr>
                <w:rFonts w:eastAsia="Times New Roman" w:cs="Arial"/>
                <w:b/>
                <w:bCs/>
                <w:sz w:val="16"/>
                <w:szCs w:val="16"/>
                <w:lang w:eastAsia="da-DK"/>
              </w:rPr>
              <w:t>-2.797.746</w:t>
            </w:r>
          </w:p>
        </w:tc>
        <w:tc>
          <w:tcPr>
            <w:tcW w:w="457" w:type="pct"/>
            <w:tcBorders>
              <w:top w:val="nil"/>
              <w:left w:val="nil"/>
              <w:bottom w:val="single" w:sz="4" w:space="0" w:color="auto"/>
              <w:right w:val="single" w:sz="4" w:space="0" w:color="auto"/>
            </w:tcBorders>
            <w:shd w:val="clear" w:color="auto" w:fill="auto"/>
            <w:vAlign w:val="bottom"/>
            <w:hideMark/>
          </w:tcPr>
          <w:p w:rsidR="006A4E08" w:rsidRPr="006A4E08" w:rsidRDefault="006A4E08" w:rsidP="006A4E08">
            <w:pPr>
              <w:spacing w:after="0"/>
              <w:jc w:val="right"/>
              <w:rPr>
                <w:rFonts w:eastAsia="Times New Roman" w:cs="Arial"/>
                <w:b/>
                <w:bCs/>
                <w:sz w:val="16"/>
                <w:szCs w:val="16"/>
                <w:lang w:eastAsia="da-DK"/>
              </w:rPr>
            </w:pPr>
            <w:r w:rsidRPr="006A4E08">
              <w:rPr>
                <w:rFonts w:eastAsia="Times New Roman" w:cs="Arial"/>
                <w:b/>
                <w:bCs/>
                <w:sz w:val="16"/>
                <w:szCs w:val="16"/>
                <w:lang w:eastAsia="da-DK"/>
              </w:rPr>
              <w:t>-2.845.146</w:t>
            </w:r>
          </w:p>
        </w:tc>
        <w:tc>
          <w:tcPr>
            <w:tcW w:w="505" w:type="pct"/>
            <w:tcBorders>
              <w:top w:val="nil"/>
              <w:left w:val="nil"/>
              <w:bottom w:val="single" w:sz="4" w:space="0" w:color="auto"/>
              <w:right w:val="single" w:sz="4" w:space="0" w:color="auto"/>
            </w:tcBorders>
            <w:shd w:val="clear" w:color="auto" w:fill="auto"/>
            <w:vAlign w:val="bottom"/>
            <w:hideMark/>
          </w:tcPr>
          <w:p w:rsidR="006A4E08" w:rsidRPr="006A4E08" w:rsidRDefault="009610B1" w:rsidP="006A4E08">
            <w:pPr>
              <w:spacing w:after="0"/>
              <w:jc w:val="right"/>
              <w:rPr>
                <w:rFonts w:eastAsia="Times New Roman" w:cs="Arial"/>
                <w:b/>
                <w:bCs/>
                <w:sz w:val="16"/>
                <w:szCs w:val="16"/>
                <w:lang w:eastAsia="da-DK"/>
              </w:rPr>
            </w:pPr>
            <w:r>
              <w:rPr>
                <w:rFonts w:eastAsia="Times New Roman" w:cs="Arial"/>
                <w:b/>
                <w:bCs/>
                <w:sz w:val="16"/>
                <w:szCs w:val="16"/>
                <w:lang w:eastAsia="da-DK"/>
              </w:rPr>
              <w:t>47.400</w:t>
            </w:r>
          </w:p>
        </w:tc>
      </w:tr>
    </w:tbl>
    <w:p w:rsidR="00AF0252" w:rsidRDefault="00AF0252" w:rsidP="00C21606">
      <w:pPr>
        <w:spacing w:after="0"/>
      </w:pPr>
    </w:p>
    <w:bookmarkEnd w:id="4"/>
    <w:p w:rsidR="000265F8" w:rsidRDefault="000265F8" w:rsidP="001968DE">
      <w:pPr>
        <w:pStyle w:val="Overskrift1"/>
        <w:rPr>
          <w:rFonts w:cs="Arial"/>
        </w:rPr>
      </w:pPr>
    </w:p>
    <w:p w:rsidR="000265F8" w:rsidRDefault="000265F8" w:rsidP="001968DE">
      <w:pPr>
        <w:pStyle w:val="Overskrift1"/>
        <w:rPr>
          <w:rFonts w:cs="Arial"/>
        </w:rPr>
      </w:pPr>
    </w:p>
    <w:p w:rsidR="000265F8" w:rsidRDefault="000265F8" w:rsidP="000265F8"/>
    <w:p w:rsidR="000265F8" w:rsidRPr="000265F8" w:rsidRDefault="000265F8" w:rsidP="000265F8"/>
    <w:p w:rsidR="001968DE" w:rsidRPr="00983DF0" w:rsidRDefault="00D94272" w:rsidP="001968DE">
      <w:pPr>
        <w:pStyle w:val="Overskrift1"/>
        <w:rPr>
          <w:rFonts w:cs="Arial"/>
        </w:rPr>
      </w:pPr>
      <w:bookmarkStart w:id="5" w:name="_Toc2932283"/>
      <w:r>
        <w:rPr>
          <w:rFonts w:cs="Arial"/>
        </w:rPr>
        <w:lastRenderedPageBreak/>
        <w:t>Renter</w:t>
      </w:r>
      <w:bookmarkEnd w:id="5"/>
    </w:p>
    <w:p w:rsidR="003278D6" w:rsidRDefault="001968DE" w:rsidP="001968DE">
      <w:pPr>
        <w:pStyle w:val="Overskrift2"/>
        <w:rPr>
          <w:rFonts w:cs="Arial"/>
        </w:rPr>
      </w:pPr>
      <w:bookmarkStart w:id="6" w:name="_Toc497739564"/>
      <w:bookmarkStart w:id="7" w:name="_Toc2932284"/>
      <w:r w:rsidRPr="00983DF0">
        <w:rPr>
          <w:rFonts w:cs="Arial"/>
        </w:rPr>
        <w:t>Økonomisk oversigt</w:t>
      </w:r>
      <w:bookmarkEnd w:id="6"/>
      <w:bookmarkEnd w:id="7"/>
    </w:p>
    <w:p w:rsidR="00272BEB" w:rsidRPr="00272BEB" w:rsidRDefault="003278D6" w:rsidP="00272BEB">
      <w:r w:rsidRPr="00272BEB">
        <w:t xml:space="preserve">Tabellen nedenfor viser </w:t>
      </w:r>
      <w:r w:rsidR="001D124F">
        <w:t>budget og regnskab for renter inddelt på politisk udvalg og funktion.</w:t>
      </w:r>
    </w:p>
    <w:p w:rsidR="003278D6" w:rsidRDefault="003278D6" w:rsidP="009D1351">
      <w:pPr>
        <w:spacing w:after="0"/>
      </w:pPr>
      <w:r>
        <w:t xml:space="preserve">Tabel </w:t>
      </w:r>
      <w:r w:rsidR="00F26966">
        <w:rPr>
          <w:noProof/>
        </w:rPr>
        <w:fldChar w:fldCharType="begin"/>
      </w:r>
      <w:r w:rsidR="00F26966">
        <w:rPr>
          <w:noProof/>
        </w:rPr>
        <w:instrText xml:space="preserve"> SEQ Tabel \* ARABIC </w:instrText>
      </w:r>
      <w:r w:rsidR="00F26966">
        <w:rPr>
          <w:noProof/>
        </w:rPr>
        <w:fldChar w:fldCharType="separate"/>
      </w:r>
      <w:r w:rsidR="00CB6A4A">
        <w:rPr>
          <w:noProof/>
        </w:rPr>
        <w:t>2</w:t>
      </w:r>
      <w:r w:rsidR="00F26966">
        <w:rPr>
          <w:noProof/>
        </w:rPr>
        <w:fldChar w:fldCharType="end"/>
      </w:r>
      <w:r>
        <w:t xml:space="preserve">. </w:t>
      </w:r>
      <w:r w:rsidR="00C351CC">
        <w:t>Renter – pr. politisk udvalg og funktion.</w:t>
      </w:r>
    </w:p>
    <w:p w:rsidR="001968DE" w:rsidRDefault="001E3CD2" w:rsidP="001968DE">
      <w:pPr>
        <w:rPr>
          <w:sz w:val="16"/>
        </w:rPr>
      </w:pPr>
      <w:r>
        <w:rPr>
          <w:sz w:val="16"/>
        </w:rPr>
        <w:t>Anm.: 2018-2019</w:t>
      </w:r>
      <w:r w:rsidR="00E72E57">
        <w:rPr>
          <w:sz w:val="16"/>
        </w:rPr>
        <w:t xml:space="preserve"> i årets PL.</w:t>
      </w:r>
    </w:p>
    <w:tbl>
      <w:tblPr>
        <w:tblW w:w="0" w:type="auto"/>
        <w:tblInd w:w="-5" w:type="dxa"/>
        <w:tblLayout w:type="fixed"/>
        <w:tblCellMar>
          <w:left w:w="70" w:type="dxa"/>
          <w:right w:w="70" w:type="dxa"/>
        </w:tblCellMar>
        <w:tblLook w:val="04A0" w:firstRow="1" w:lastRow="0" w:firstColumn="1" w:lastColumn="0" w:noHBand="0" w:noVBand="1"/>
      </w:tblPr>
      <w:tblGrid>
        <w:gridCol w:w="6299"/>
        <w:gridCol w:w="662"/>
        <w:gridCol w:w="836"/>
        <w:gridCol w:w="647"/>
        <w:gridCol w:w="626"/>
        <w:gridCol w:w="662"/>
        <w:gridCol w:w="729"/>
      </w:tblGrid>
      <w:tr w:rsidR="006A22C1" w:rsidRPr="006A22C1" w:rsidTr="006A22C1">
        <w:trPr>
          <w:trHeight w:val="900"/>
        </w:trPr>
        <w:tc>
          <w:tcPr>
            <w:tcW w:w="6299"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6A22C1" w:rsidRPr="006A22C1" w:rsidRDefault="006A22C1" w:rsidP="006A22C1">
            <w:pPr>
              <w:spacing w:after="0"/>
              <w:rPr>
                <w:rFonts w:eastAsia="Times New Roman" w:cs="Arial"/>
                <w:b/>
                <w:bCs/>
                <w:sz w:val="16"/>
                <w:szCs w:val="16"/>
                <w:lang w:eastAsia="da-DK"/>
              </w:rPr>
            </w:pPr>
            <w:r w:rsidRPr="006A22C1">
              <w:rPr>
                <w:rFonts w:eastAsia="Times New Roman" w:cs="Arial"/>
                <w:b/>
                <w:bCs/>
                <w:sz w:val="16"/>
                <w:szCs w:val="16"/>
                <w:lang w:eastAsia="da-DK"/>
              </w:rPr>
              <w:t xml:space="preserve">Samtlige udvalg - Renter - I 1.000 kr.                                       </w:t>
            </w:r>
          </w:p>
        </w:tc>
        <w:tc>
          <w:tcPr>
            <w:tcW w:w="662" w:type="dxa"/>
            <w:tcBorders>
              <w:top w:val="single" w:sz="4" w:space="0" w:color="auto"/>
              <w:left w:val="nil"/>
              <w:bottom w:val="single" w:sz="4" w:space="0" w:color="auto"/>
              <w:right w:val="single" w:sz="4" w:space="0" w:color="auto"/>
            </w:tcBorders>
            <w:shd w:val="clear" w:color="000000" w:fill="C5D9F1"/>
            <w:vAlign w:val="center"/>
            <w:hideMark/>
          </w:tcPr>
          <w:p w:rsidR="006A22C1" w:rsidRPr="006A22C1" w:rsidRDefault="006A22C1" w:rsidP="006A22C1">
            <w:pPr>
              <w:spacing w:after="0"/>
              <w:jc w:val="center"/>
              <w:rPr>
                <w:rFonts w:eastAsia="Times New Roman" w:cs="Arial"/>
                <w:b/>
                <w:bCs/>
                <w:sz w:val="16"/>
                <w:szCs w:val="16"/>
                <w:lang w:eastAsia="da-DK"/>
              </w:rPr>
            </w:pPr>
            <w:r w:rsidRPr="006A22C1">
              <w:rPr>
                <w:rFonts w:eastAsia="Times New Roman" w:cs="Arial"/>
                <w:b/>
                <w:bCs/>
                <w:sz w:val="16"/>
                <w:szCs w:val="16"/>
                <w:lang w:eastAsia="da-DK"/>
              </w:rPr>
              <w:t>Regnskab 2018</w:t>
            </w:r>
          </w:p>
        </w:tc>
        <w:tc>
          <w:tcPr>
            <w:tcW w:w="836" w:type="dxa"/>
            <w:tcBorders>
              <w:top w:val="single" w:sz="4" w:space="0" w:color="auto"/>
              <w:left w:val="nil"/>
              <w:bottom w:val="single" w:sz="4" w:space="0" w:color="auto"/>
              <w:right w:val="single" w:sz="4" w:space="0" w:color="auto"/>
            </w:tcBorders>
            <w:shd w:val="clear" w:color="000000" w:fill="C5D9F1"/>
            <w:vAlign w:val="center"/>
            <w:hideMark/>
          </w:tcPr>
          <w:p w:rsidR="006A22C1" w:rsidRPr="006A22C1" w:rsidRDefault="007246AC" w:rsidP="006A22C1">
            <w:pPr>
              <w:spacing w:after="0"/>
              <w:jc w:val="center"/>
              <w:rPr>
                <w:rFonts w:eastAsia="Times New Roman" w:cs="Arial"/>
                <w:b/>
                <w:bCs/>
                <w:sz w:val="16"/>
                <w:szCs w:val="16"/>
                <w:lang w:eastAsia="da-DK"/>
              </w:rPr>
            </w:pPr>
            <w:r>
              <w:rPr>
                <w:rFonts w:eastAsia="Times New Roman" w:cs="Arial"/>
                <w:b/>
                <w:bCs/>
                <w:sz w:val="16"/>
                <w:szCs w:val="16"/>
                <w:lang w:eastAsia="da-DK"/>
              </w:rPr>
              <w:t>Opr. V. budget 201</w:t>
            </w:r>
            <w:r w:rsidR="000257B8">
              <w:rPr>
                <w:rFonts w:eastAsia="Times New Roman" w:cs="Arial"/>
                <w:b/>
                <w:bCs/>
                <w:sz w:val="16"/>
                <w:szCs w:val="16"/>
                <w:lang w:eastAsia="da-DK"/>
              </w:rPr>
              <w:t>9</w:t>
            </w:r>
          </w:p>
        </w:tc>
        <w:tc>
          <w:tcPr>
            <w:tcW w:w="647" w:type="dxa"/>
            <w:tcBorders>
              <w:top w:val="single" w:sz="4" w:space="0" w:color="auto"/>
              <w:left w:val="nil"/>
              <w:bottom w:val="single" w:sz="4" w:space="0" w:color="auto"/>
              <w:right w:val="single" w:sz="4" w:space="0" w:color="auto"/>
            </w:tcBorders>
            <w:shd w:val="clear" w:color="000000" w:fill="C5D9F1"/>
            <w:vAlign w:val="center"/>
            <w:hideMark/>
          </w:tcPr>
          <w:p w:rsidR="006A22C1" w:rsidRPr="006A22C1" w:rsidRDefault="006A22C1" w:rsidP="006A22C1">
            <w:pPr>
              <w:spacing w:after="0"/>
              <w:jc w:val="center"/>
              <w:rPr>
                <w:rFonts w:eastAsia="Times New Roman" w:cs="Arial"/>
                <w:b/>
                <w:bCs/>
                <w:sz w:val="16"/>
                <w:szCs w:val="16"/>
                <w:lang w:eastAsia="da-DK"/>
              </w:rPr>
            </w:pPr>
            <w:r w:rsidRPr="006A22C1">
              <w:rPr>
                <w:rFonts w:eastAsia="Times New Roman" w:cs="Arial"/>
                <w:b/>
                <w:bCs/>
                <w:sz w:val="16"/>
                <w:szCs w:val="16"/>
                <w:lang w:eastAsia="da-DK"/>
              </w:rPr>
              <w:t>Tillægsbevilling /Omplacering</w:t>
            </w:r>
          </w:p>
        </w:tc>
        <w:tc>
          <w:tcPr>
            <w:tcW w:w="626" w:type="dxa"/>
            <w:tcBorders>
              <w:top w:val="single" w:sz="4" w:space="0" w:color="auto"/>
              <w:left w:val="nil"/>
              <w:bottom w:val="single" w:sz="4" w:space="0" w:color="auto"/>
              <w:right w:val="single" w:sz="4" w:space="0" w:color="auto"/>
            </w:tcBorders>
            <w:shd w:val="clear" w:color="000000" w:fill="C5D9F1"/>
            <w:vAlign w:val="center"/>
            <w:hideMark/>
          </w:tcPr>
          <w:p w:rsidR="006A22C1" w:rsidRPr="006A22C1" w:rsidRDefault="006A22C1" w:rsidP="006A22C1">
            <w:pPr>
              <w:spacing w:after="0"/>
              <w:jc w:val="center"/>
              <w:rPr>
                <w:rFonts w:eastAsia="Times New Roman" w:cs="Arial"/>
                <w:b/>
                <w:bCs/>
                <w:sz w:val="16"/>
                <w:szCs w:val="16"/>
                <w:lang w:eastAsia="da-DK"/>
              </w:rPr>
            </w:pPr>
            <w:r w:rsidRPr="006A22C1">
              <w:rPr>
                <w:rFonts w:eastAsia="Times New Roman" w:cs="Arial"/>
                <w:b/>
                <w:bCs/>
                <w:sz w:val="16"/>
                <w:szCs w:val="16"/>
                <w:lang w:eastAsia="da-DK"/>
              </w:rPr>
              <w:t>Korr. v. Budget</w:t>
            </w:r>
          </w:p>
        </w:tc>
        <w:tc>
          <w:tcPr>
            <w:tcW w:w="662" w:type="dxa"/>
            <w:tcBorders>
              <w:top w:val="single" w:sz="4" w:space="0" w:color="auto"/>
              <w:left w:val="nil"/>
              <w:bottom w:val="single" w:sz="4" w:space="0" w:color="auto"/>
              <w:right w:val="single" w:sz="4" w:space="0" w:color="auto"/>
            </w:tcBorders>
            <w:shd w:val="clear" w:color="000000" w:fill="C5D9F1"/>
            <w:vAlign w:val="center"/>
            <w:hideMark/>
          </w:tcPr>
          <w:p w:rsidR="006A22C1" w:rsidRPr="006A22C1" w:rsidRDefault="006A22C1" w:rsidP="006A22C1">
            <w:pPr>
              <w:spacing w:after="0"/>
              <w:jc w:val="center"/>
              <w:rPr>
                <w:rFonts w:eastAsia="Times New Roman" w:cs="Arial"/>
                <w:b/>
                <w:bCs/>
                <w:sz w:val="16"/>
                <w:szCs w:val="16"/>
                <w:lang w:eastAsia="da-DK"/>
              </w:rPr>
            </w:pPr>
            <w:r w:rsidRPr="006A22C1">
              <w:rPr>
                <w:rFonts w:eastAsia="Times New Roman" w:cs="Arial"/>
                <w:b/>
                <w:bCs/>
                <w:sz w:val="16"/>
                <w:szCs w:val="16"/>
                <w:lang w:eastAsia="da-DK"/>
              </w:rPr>
              <w:t>Regnskab 2019</w:t>
            </w:r>
          </w:p>
        </w:tc>
        <w:tc>
          <w:tcPr>
            <w:tcW w:w="729" w:type="dxa"/>
            <w:tcBorders>
              <w:top w:val="single" w:sz="4" w:space="0" w:color="auto"/>
              <w:left w:val="nil"/>
              <w:bottom w:val="single" w:sz="4" w:space="0" w:color="auto"/>
              <w:right w:val="single" w:sz="4" w:space="0" w:color="auto"/>
            </w:tcBorders>
            <w:shd w:val="clear" w:color="000000" w:fill="C5D9F1"/>
            <w:vAlign w:val="center"/>
            <w:hideMark/>
          </w:tcPr>
          <w:p w:rsidR="006A22C1" w:rsidRPr="006A22C1" w:rsidRDefault="006A22C1" w:rsidP="006A22C1">
            <w:pPr>
              <w:spacing w:after="0"/>
              <w:jc w:val="center"/>
              <w:rPr>
                <w:rFonts w:eastAsia="Times New Roman" w:cs="Arial"/>
                <w:b/>
                <w:bCs/>
                <w:sz w:val="16"/>
                <w:szCs w:val="16"/>
                <w:lang w:eastAsia="da-DK"/>
              </w:rPr>
            </w:pPr>
            <w:r w:rsidRPr="006A22C1">
              <w:rPr>
                <w:rFonts w:eastAsia="Times New Roman" w:cs="Arial"/>
                <w:b/>
                <w:bCs/>
                <w:sz w:val="16"/>
                <w:szCs w:val="16"/>
                <w:lang w:eastAsia="da-DK"/>
              </w:rPr>
              <w:t>Over-/underskud</w:t>
            </w:r>
          </w:p>
        </w:tc>
      </w:tr>
      <w:tr w:rsidR="006A22C1" w:rsidRPr="006A22C1" w:rsidTr="006A22C1">
        <w:trPr>
          <w:trHeight w:val="300"/>
        </w:trPr>
        <w:tc>
          <w:tcPr>
            <w:tcW w:w="6299" w:type="dxa"/>
            <w:tcBorders>
              <w:top w:val="nil"/>
              <w:left w:val="single" w:sz="4" w:space="0" w:color="auto"/>
              <w:bottom w:val="single" w:sz="4" w:space="0" w:color="auto"/>
              <w:right w:val="single" w:sz="4" w:space="0" w:color="auto"/>
            </w:tcBorders>
            <w:shd w:val="clear" w:color="auto" w:fill="auto"/>
            <w:noWrap/>
            <w:vAlign w:val="bottom"/>
            <w:hideMark/>
          </w:tcPr>
          <w:p w:rsidR="006A22C1" w:rsidRPr="006A22C1" w:rsidRDefault="006A22C1" w:rsidP="006A22C1">
            <w:pPr>
              <w:spacing w:after="0"/>
              <w:ind w:firstLineChars="100" w:firstLine="160"/>
              <w:rPr>
                <w:rFonts w:eastAsia="Times New Roman" w:cs="Arial"/>
                <w:b/>
                <w:bCs/>
                <w:color w:val="000000"/>
                <w:sz w:val="16"/>
                <w:szCs w:val="16"/>
                <w:lang w:eastAsia="da-DK"/>
              </w:rPr>
            </w:pPr>
            <w:r w:rsidRPr="006A22C1">
              <w:rPr>
                <w:rFonts w:eastAsia="Times New Roman" w:cs="Arial"/>
                <w:b/>
                <w:bCs/>
                <w:color w:val="000000"/>
                <w:sz w:val="16"/>
                <w:szCs w:val="16"/>
                <w:lang w:eastAsia="da-DK"/>
              </w:rPr>
              <w:t>1 Økonomiudvalget</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-7.403</w:t>
            </w:r>
          </w:p>
        </w:tc>
        <w:tc>
          <w:tcPr>
            <w:tcW w:w="83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4.861</w:t>
            </w:r>
          </w:p>
        </w:tc>
        <w:tc>
          <w:tcPr>
            <w:tcW w:w="647"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189</w:t>
            </w:r>
          </w:p>
        </w:tc>
        <w:tc>
          <w:tcPr>
            <w:tcW w:w="62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5.050</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3351B4" w:rsidP="006A22C1">
            <w:pPr>
              <w:spacing w:after="0"/>
              <w:jc w:val="right"/>
              <w:rPr>
                <w:rFonts w:eastAsia="Times New Roman" w:cs="Arial"/>
                <w:color w:val="000000"/>
                <w:sz w:val="16"/>
                <w:szCs w:val="16"/>
                <w:lang w:eastAsia="da-DK"/>
              </w:rPr>
            </w:pPr>
            <w:r>
              <w:rPr>
                <w:rFonts w:eastAsia="Times New Roman" w:cs="Arial"/>
                <w:color w:val="000000"/>
                <w:sz w:val="16"/>
                <w:szCs w:val="16"/>
                <w:lang w:eastAsia="da-DK"/>
              </w:rPr>
              <w:t>9.739</w:t>
            </w:r>
          </w:p>
        </w:tc>
        <w:tc>
          <w:tcPr>
            <w:tcW w:w="729" w:type="dxa"/>
            <w:tcBorders>
              <w:top w:val="nil"/>
              <w:left w:val="nil"/>
              <w:bottom w:val="single" w:sz="4" w:space="0" w:color="auto"/>
              <w:right w:val="single" w:sz="4" w:space="0" w:color="auto"/>
            </w:tcBorders>
            <w:shd w:val="clear" w:color="auto" w:fill="auto"/>
            <w:noWrap/>
            <w:vAlign w:val="bottom"/>
            <w:hideMark/>
          </w:tcPr>
          <w:p w:rsidR="006A22C1" w:rsidRPr="00522684" w:rsidRDefault="00522684" w:rsidP="006A22C1">
            <w:pPr>
              <w:spacing w:after="0"/>
              <w:jc w:val="right"/>
              <w:rPr>
                <w:rFonts w:eastAsia="Times New Roman" w:cs="Arial"/>
                <w:b/>
                <w:color w:val="000000"/>
                <w:sz w:val="16"/>
                <w:szCs w:val="16"/>
                <w:lang w:eastAsia="da-DK"/>
              </w:rPr>
            </w:pPr>
            <w:r w:rsidRPr="00522684">
              <w:rPr>
                <w:rFonts w:eastAsia="Times New Roman" w:cs="Arial"/>
                <w:b/>
                <w:color w:val="000000"/>
                <w:sz w:val="16"/>
                <w:szCs w:val="16"/>
                <w:lang w:eastAsia="da-DK"/>
              </w:rPr>
              <w:t>-4.689</w:t>
            </w:r>
          </w:p>
        </w:tc>
      </w:tr>
      <w:tr w:rsidR="006A22C1" w:rsidRPr="006A22C1" w:rsidTr="006A22C1">
        <w:trPr>
          <w:trHeight w:val="300"/>
        </w:trPr>
        <w:tc>
          <w:tcPr>
            <w:tcW w:w="6299" w:type="dxa"/>
            <w:tcBorders>
              <w:top w:val="nil"/>
              <w:left w:val="single" w:sz="4" w:space="0" w:color="auto"/>
              <w:bottom w:val="single" w:sz="4" w:space="0" w:color="auto"/>
              <w:right w:val="single" w:sz="4" w:space="0" w:color="auto"/>
            </w:tcBorders>
            <w:shd w:val="clear" w:color="auto" w:fill="auto"/>
            <w:noWrap/>
            <w:vAlign w:val="bottom"/>
            <w:hideMark/>
          </w:tcPr>
          <w:p w:rsidR="006A22C1" w:rsidRPr="006A22C1" w:rsidRDefault="006A22C1" w:rsidP="006A22C1">
            <w:pPr>
              <w:spacing w:after="0"/>
              <w:ind w:firstLineChars="200" w:firstLine="320"/>
              <w:rPr>
                <w:rFonts w:eastAsia="Times New Roman" w:cs="Arial"/>
                <w:color w:val="000000"/>
                <w:sz w:val="16"/>
                <w:szCs w:val="16"/>
                <w:lang w:eastAsia="da-DK"/>
              </w:rPr>
            </w:pPr>
            <w:r w:rsidRPr="006A22C1">
              <w:rPr>
                <w:rFonts w:eastAsia="Times New Roman" w:cs="Arial"/>
                <w:color w:val="000000"/>
                <w:sz w:val="16"/>
                <w:szCs w:val="16"/>
                <w:lang w:eastAsia="da-DK"/>
              </w:rPr>
              <w:t>07 Renter, tilskud, udligning, skatter m.v.</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-7.403</w:t>
            </w:r>
          </w:p>
        </w:tc>
        <w:tc>
          <w:tcPr>
            <w:tcW w:w="83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4.861</w:t>
            </w:r>
          </w:p>
        </w:tc>
        <w:tc>
          <w:tcPr>
            <w:tcW w:w="647"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189</w:t>
            </w:r>
          </w:p>
        </w:tc>
        <w:tc>
          <w:tcPr>
            <w:tcW w:w="62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5.050</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3351B4" w:rsidP="006A22C1">
            <w:pPr>
              <w:spacing w:after="0"/>
              <w:jc w:val="right"/>
              <w:rPr>
                <w:rFonts w:eastAsia="Times New Roman" w:cs="Arial"/>
                <w:color w:val="000000"/>
                <w:sz w:val="16"/>
                <w:szCs w:val="16"/>
                <w:lang w:eastAsia="da-DK"/>
              </w:rPr>
            </w:pPr>
            <w:r>
              <w:rPr>
                <w:rFonts w:eastAsia="Times New Roman" w:cs="Arial"/>
                <w:color w:val="000000"/>
                <w:sz w:val="16"/>
                <w:szCs w:val="16"/>
                <w:lang w:eastAsia="da-DK"/>
              </w:rPr>
              <w:t>9.745</w:t>
            </w:r>
          </w:p>
        </w:tc>
        <w:tc>
          <w:tcPr>
            <w:tcW w:w="729" w:type="dxa"/>
            <w:tcBorders>
              <w:top w:val="nil"/>
              <w:left w:val="nil"/>
              <w:bottom w:val="single" w:sz="4" w:space="0" w:color="auto"/>
              <w:right w:val="single" w:sz="4" w:space="0" w:color="auto"/>
            </w:tcBorders>
            <w:shd w:val="clear" w:color="auto" w:fill="auto"/>
            <w:noWrap/>
            <w:vAlign w:val="bottom"/>
            <w:hideMark/>
          </w:tcPr>
          <w:p w:rsidR="006A22C1" w:rsidRPr="00522684" w:rsidRDefault="006A22C1" w:rsidP="006A22C1">
            <w:pPr>
              <w:spacing w:after="0"/>
              <w:rPr>
                <w:rFonts w:eastAsia="Times New Roman" w:cs="Arial"/>
                <w:color w:val="000000"/>
                <w:sz w:val="16"/>
                <w:szCs w:val="16"/>
                <w:lang w:eastAsia="da-DK"/>
              </w:rPr>
            </w:pPr>
            <w:r w:rsidRPr="00522684">
              <w:rPr>
                <w:rFonts w:eastAsia="Times New Roman" w:cs="Arial"/>
                <w:color w:val="000000"/>
                <w:sz w:val="16"/>
                <w:szCs w:val="16"/>
                <w:lang w:eastAsia="da-DK"/>
              </w:rPr>
              <w:t> </w:t>
            </w:r>
            <w:r w:rsidR="00522684" w:rsidRPr="00522684">
              <w:rPr>
                <w:rFonts w:eastAsia="Times New Roman" w:cs="Arial"/>
                <w:color w:val="000000"/>
                <w:sz w:val="16"/>
                <w:szCs w:val="16"/>
                <w:lang w:eastAsia="da-DK"/>
              </w:rPr>
              <w:t xml:space="preserve">  -4.695</w:t>
            </w:r>
          </w:p>
        </w:tc>
      </w:tr>
      <w:tr w:rsidR="006A22C1" w:rsidRPr="006A22C1" w:rsidTr="006A22C1">
        <w:trPr>
          <w:trHeight w:val="300"/>
        </w:trPr>
        <w:tc>
          <w:tcPr>
            <w:tcW w:w="6299" w:type="dxa"/>
            <w:tcBorders>
              <w:top w:val="nil"/>
              <w:left w:val="single" w:sz="4" w:space="0" w:color="auto"/>
              <w:bottom w:val="single" w:sz="4" w:space="0" w:color="auto"/>
              <w:right w:val="single" w:sz="4" w:space="0" w:color="auto"/>
            </w:tcBorders>
            <w:shd w:val="clear" w:color="auto" w:fill="auto"/>
            <w:noWrap/>
            <w:vAlign w:val="bottom"/>
            <w:hideMark/>
          </w:tcPr>
          <w:p w:rsidR="006A22C1" w:rsidRPr="006A22C1" w:rsidRDefault="006A22C1" w:rsidP="006A22C1">
            <w:pPr>
              <w:spacing w:after="0"/>
              <w:ind w:firstLineChars="300" w:firstLine="480"/>
              <w:rPr>
                <w:rFonts w:eastAsia="Times New Roman" w:cs="Arial"/>
                <w:color w:val="000000"/>
                <w:sz w:val="16"/>
                <w:szCs w:val="16"/>
                <w:lang w:eastAsia="da-DK"/>
              </w:rPr>
            </w:pPr>
            <w:r w:rsidRPr="006A22C1">
              <w:rPr>
                <w:rFonts w:eastAsia="Times New Roman" w:cs="Arial"/>
                <w:color w:val="000000"/>
                <w:sz w:val="16"/>
                <w:szCs w:val="16"/>
                <w:lang w:eastAsia="da-DK"/>
              </w:rPr>
              <w:t>22 Renter af likvide aktiver</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-14.750</w:t>
            </w:r>
          </w:p>
        </w:tc>
        <w:tc>
          <w:tcPr>
            <w:tcW w:w="83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-2.830</w:t>
            </w:r>
          </w:p>
        </w:tc>
        <w:tc>
          <w:tcPr>
            <w:tcW w:w="647"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rPr>
                <w:rFonts w:eastAsia="Times New Roman" w:cs="Arial"/>
                <w:color w:val="000000"/>
                <w:sz w:val="16"/>
                <w:szCs w:val="16"/>
                <w:lang w:eastAsia="da-DK"/>
              </w:rPr>
            </w:pPr>
            <w:r w:rsidRPr="006A22C1">
              <w:rPr>
                <w:rFonts w:eastAsia="Times New Roman" w:cs="Arial"/>
                <w:color w:val="000000"/>
                <w:sz w:val="16"/>
                <w:szCs w:val="16"/>
                <w:lang w:eastAsia="da-DK"/>
              </w:rPr>
              <w:t> </w:t>
            </w:r>
          </w:p>
        </w:tc>
        <w:tc>
          <w:tcPr>
            <w:tcW w:w="62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-2.830</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-6.800</w:t>
            </w:r>
          </w:p>
        </w:tc>
        <w:tc>
          <w:tcPr>
            <w:tcW w:w="729" w:type="dxa"/>
            <w:tcBorders>
              <w:top w:val="nil"/>
              <w:left w:val="nil"/>
              <w:bottom w:val="single" w:sz="4" w:space="0" w:color="auto"/>
              <w:right w:val="single" w:sz="4" w:space="0" w:color="auto"/>
            </w:tcBorders>
            <w:shd w:val="clear" w:color="auto" w:fill="auto"/>
            <w:noWrap/>
            <w:vAlign w:val="bottom"/>
            <w:hideMark/>
          </w:tcPr>
          <w:p w:rsidR="006A22C1" w:rsidRPr="00522684" w:rsidRDefault="006A22C1" w:rsidP="006A22C1">
            <w:pPr>
              <w:spacing w:after="0"/>
              <w:jc w:val="right"/>
              <w:rPr>
                <w:rFonts w:eastAsia="Times New Roman" w:cs="Arial"/>
                <w:color w:val="000000"/>
                <w:sz w:val="16"/>
                <w:szCs w:val="16"/>
                <w:lang w:eastAsia="da-DK"/>
              </w:rPr>
            </w:pPr>
            <w:r w:rsidRPr="00522684">
              <w:rPr>
                <w:rFonts w:eastAsia="Times New Roman" w:cs="Arial"/>
                <w:color w:val="000000"/>
                <w:sz w:val="16"/>
                <w:szCs w:val="16"/>
                <w:lang w:eastAsia="da-DK"/>
              </w:rPr>
              <w:t>3.970</w:t>
            </w:r>
          </w:p>
        </w:tc>
      </w:tr>
      <w:tr w:rsidR="006A22C1" w:rsidRPr="006A22C1" w:rsidTr="006A22C1">
        <w:trPr>
          <w:trHeight w:val="300"/>
        </w:trPr>
        <w:tc>
          <w:tcPr>
            <w:tcW w:w="6299" w:type="dxa"/>
            <w:tcBorders>
              <w:top w:val="nil"/>
              <w:left w:val="single" w:sz="4" w:space="0" w:color="auto"/>
              <w:bottom w:val="single" w:sz="4" w:space="0" w:color="auto"/>
              <w:right w:val="single" w:sz="4" w:space="0" w:color="auto"/>
            </w:tcBorders>
            <w:shd w:val="clear" w:color="auto" w:fill="auto"/>
            <w:noWrap/>
            <w:vAlign w:val="bottom"/>
            <w:hideMark/>
          </w:tcPr>
          <w:p w:rsidR="006A22C1" w:rsidRPr="006A22C1" w:rsidRDefault="006A22C1" w:rsidP="006A22C1">
            <w:pPr>
              <w:spacing w:after="0"/>
              <w:ind w:firstLineChars="300" w:firstLine="480"/>
              <w:rPr>
                <w:rFonts w:eastAsia="Times New Roman" w:cs="Arial"/>
                <w:color w:val="000000"/>
                <w:sz w:val="16"/>
                <w:szCs w:val="16"/>
                <w:lang w:eastAsia="da-DK"/>
              </w:rPr>
            </w:pPr>
            <w:r w:rsidRPr="006A22C1">
              <w:rPr>
                <w:rFonts w:eastAsia="Times New Roman" w:cs="Arial"/>
                <w:color w:val="000000"/>
                <w:sz w:val="16"/>
                <w:szCs w:val="16"/>
                <w:lang w:eastAsia="da-DK"/>
              </w:rPr>
              <w:t>28 Renter af kortfristede tilgodehavender i øvrigt</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-717</w:t>
            </w:r>
          </w:p>
        </w:tc>
        <w:tc>
          <w:tcPr>
            <w:tcW w:w="83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-200</w:t>
            </w:r>
          </w:p>
        </w:tc>
        <w:tc>
          <w:tcPr>
            <w:tcW w:w="647"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rPr>
                <w:rFonts w:eastAsia="Times New Roman" w:cs="Arial"/>
                <w:color w:val="000000"/>
                <w:sz w:val="16"/>
                <w:szCs w:val="16"/>
                <w:lang w:eastAsia="da-DK"/>
              </w:rPr>
            </w:pPr>
            <w:r w:rsidRPr="006A22C1">
              <w:rPr>
                <w:rFonts w:eastAsia="Times New Roman" w:cs="Arial"/>
                <w:color w:val="000000"/>
                <w:sz w:val="16"/>
                <w:szCs w:val="16"/>
                <w:lang w:eastAsia="da-DK"/>
              </w:rPr>
              <w:t> </w:t>
            </w:r>
          </w:p>
        </w:tc>
        <w:tc>
          <w:tcPr>
            <w:tcW w:w="62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-200</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-383</w:t>
            </w:r>
          </w:p>
        </w:tc>
        <w:tc>
          <w:tcPr>
            <w:tcW w:w="729" w:type="dxa"/>
            <w:tcBorders>
              <w:top w:val="nil"/>
              <w:left w:val="nil"/>
              <w:bottom w:val="single" w:sz="4" w:space="0" w:color="auto"/>
              <w:right w:val="single" w:sz="4" w:space="0" w:color="auto"/>
            </w:tcBorders>
            <w:shd w:val="clear" w:color="auto" w:fill="auto"/>
            <w:noWrap/>
            <w:vAlign w:val="bottom"/>
            <w:hideMark/>
          </w:tcPr>
          <w:p w:rsidR="006A22C1" w:rsidRPr="00522684" w:rsidRDefault="006A22C1" w:rsidP="006A22C1">
            <w:pPr>
              <w:spacing w:after="0"/>
              <w:jc w:val="right"/>
              <w:rPr>
                <w:rFonts w:eastAsia="Times New Roman" w:cs="Arial"/>
                <w:color w:val="000000"/>
                <w:sz w:val="16"/>
                <w:szCs w:val="16"/>
                <w:lang w:eastAsia="da-DK"/>
              </w:rPr>
            </w:pPr>
            <w:r w:rsidRPr="00522684">
              <w:rPr>
                <w:rFonts w:eastAsia="Times New Roman" w:cs="Arial"/>
                <w:color w:val="000000"/>
                <w:sz w:val="16"/>
                <w:szCs w:val="16"/>
                <w:lang w:eastAsia="da-DK"/>
              </w:rPr>
              <w:t>183</w:t>
            </w:r>
          </w:p>
        </w:tc>
      </w:tr>
      <w:tr w:rsidR="006A22C1" w:rsidRPr="006A22C1" w:rsidTr="006A22C1">
        <w:trPr>
          <w:trHeight w:val="300"/>
        </w:trPr>
        <w:tc>
          <w:tcPr>
            <w:tcW w:w="6299" w:type="dxa"/>
            <w:tcBorders>
              <w:top w:val="nil"/>
              <w:left w:val="single" w:sz="4" w:space="0" w:color="auto"/>
              <w:bottom w:val="single" w:sz="4" w:space="0" w:color="auto"/>
              <w:right w:val="single" w:sz="4" w:space="0" w:color="auto"/>
            </w:tcBorders>
            <w:shd w:val="clear" w:color="auto" w:fill="auto"/>
            <w:noWrap/>
            <w:vAlign w:val="bottom"/>
            <w:hideMark/>
          </w:tcPr>
          <w:p w:rsidR="006A22C1" w:rsidRPr="006A22C1" w:rsidRDefault="006A22C1" w:rsidP="006A22C1">
            <w:pPr>
              <w:spacing w:after="0"/>
              <w:ind w:firstLineChars="300" w:firstLine="480"/>
              <w:rPr>
                <w:rFonts w:eastAsia="Times New Roman" w:cs="Arial"/>
                <w:color w:val="000000"/>
                <w:sz w:val="16"/>
                <w:szCs w:val="16"/>
                <w:lang w:eastAsia="da-DK"/>
              </w:rPr>
            </w:pPr>
            <w:r w:rsidRPr="006A22C1">
              <w:rPr>
                <w:rFonts w:eastAsia="Times New Roman" w:cs="Arial"/>
                <w:color w:val="000000"/>
                <w:sz w:val="16"/>
                <w:szCs w:val="16"/>
                <w:lang w:eastAsia="da-DK"/>
              </w:rPr>
              <w:t>32 Renter af langfristede tilgodehavender</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-4.776</w:t>
            </w:r>
          </w:p>
        </w:tc>
        <w:tc>
          <w:tcPr>
            <w:tcW w:w="83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-550</w:t>
            </w:r>
          </w:p>
        </w:tc>
        <w:tc>
          <w:tcPr>
            <w:tcW w:w="647"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189</w:t>
            </w:r>
          </w:p>
        </w:tc>
        <w:tc>
          <w:tcPr>
            <w:tcW w:w="62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-361</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-1.221</w:t>
            </w:r>
          </w:p>
        </w:tc>
        <w:tc>
          <w:tcPr>
            <w:tcW w:w="729" w:type="dxa"/>
            <w:tcBorders>
              <w:top w:val="nil"/>
              <w:left w:val="nil"/>
              <w:bottom w:val="single" w:sz="4" w:space="0" w:color="auto"/>
              <w:right w:val="single" w:sz="4" w:space="0" w:color="auto"/>
            </w:tcBorders>
            <w:shd w:val="clear" w:color="auto" w:fill="auto"/>
            <w:noWrap/>
            <w:vAlign w:val="bottom"/>
            <w:hideMark/>
          </w:tcPr>
          <w:p w:rsidR="006A22C1" w:rsidRPr="00522684" w:rsidRDefault="006A22C1" w:rsidP="006A22C1">
            <w:pPr>
              <w:spacing w:after="0"/>
              <w:jc w:val="right"/>
              <w:rPr>
                <w:rFonts w:eastAsia="Times New Roman" w:cs="Arial"/>
                <w:color w:val="000000"/>
                <w:sz w:val="16"/>
                <w:szCs w:val="16"/>
                <w:lang w:eastAsia="da-DK"/>
              </w:rPr>
            </w:pPr>
            <w:r w:rsidRPr="00522684">
              <w:rPr>
                <w:rFonts w:eastAsia="Times New Roman" w:cs="Arial"/>
                <w:color w:val="000000"/>
                <w:sz w:val="16"/>
                <w:szCs w:val="16"/>
                <w:lang w:eastAsia="da-DK"/>
              </w:rPr>
              <w:t>860</w:t>
            </w:r>
          </w:p>
        </w:tc>
      </w:tr>
      <w:tr w:rsidR="006A22C1" w:rsidRPr="006A22C1" w:rsidTr="006A22C1">
        <w:trPr>
          <w:trHeight w:val="300"/>
        </w:trPr>
        <w:tc>
          <w:tcPr>
            <w:tcW w:w="6299" w:type="dxa"/>
            <w:tcBorders>
              <w:top w:val="nil"/>
              <w:left w:val="single" w:sz="4" w:space="0" w:color="auto"/>
              <w:bottom w:val="single" w:sz="4" w:space="0" w:color="auto"/>
              <w:right w:val="single" w:sz="4" w:space="0" w:color="auto"/>
            </w:tcBorders>
            <w:shd w:val="clear" w:color="auto" w:fill="auto"/>
            <w:noWrap/>
            <w:vAlign w:val="bottom"/>
            <w:hideMark/>
          </w:tcPr>
          <w:p w:rsidR="006A22C1" w:rsidRPr="006A22C1" w:rsidRDefault="006A22C1" w:rsidP="006A22C1">
            <w:pPr>
              <w:spacing w:after="0"/>
              <w:ind w:firstLineChars="300" w:firstLine="480"/>
              <w:rPr>
                <w:rFonts w:eastAsia="Times New Roman" w:cs="Arial"/>
                <w:color w:val="000000"/>
                <w:sz w:val="16"/>
                <w:szCs w:val="16"/>
                <w:lang w:eastAsia="da-DK"/>
              </w:rPr>
            </w:pPr>
            <w:r w:rsidRPr="006A22C1">
              <w:rPr>
                <w:rFonts w:eastAsia="Times New Roman" w:cs="Arial"/>
                <w:color w:val="000000"/>
                <w:sz w:val="16"/>
                <w:szCs w:val="16"/>
                <w:lang w:eastAsia="da-DK"/>
              </w:rPr>
              <w:t>35 Renter af udlæg vedrørende forsyningsvirksomheder og mellemværende med selskabsgjorte forsyningsvirksomheder</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rPr>
                <w:rFonts w:eastAsia="Times New Roman" w:cs="Arial"/>
                <w:color w:val="000000"/>
                <w:sz w:val="16"/>
                <w:szCs w:val="16"/>
                <w:lang w:eastAsia="da-DK"/>
              </w:rPr>
            </w:pPr>
            <w:r w:rsidRPr="006A22C1">
              <w:rPr>
                <w:rFonts w:eastAsia="Times New Roman" w:cs="Arial"/>
                <w:color w:val="000000"/>
                <w:sz w:val="16"/>
                <w:szCs w:val="16"/>
                <w:lang w:eastAsia="da-DK"/>
              </w:rPr>
              <w:t> </w:t>
            </w:r>
          </w:p>
        </w:tc>
        <w:tc>
          <w:tcPr>
            <w:tcW w:w="83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80</w:t>
            </w:r>
          </w:p>
        </w:tc>
        <w:tc>
          <w:tcPr>
            <w:tcW w:w="647"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rPr>
                <w:rFonts w:eastAsia="Times New Roman" w:cs="Arial"/>
                <w:color w:val="000000"/>
                <w:sz w:val="16"/>
                <w:szCs w:val="16"/>
                <w:lang w:eastAsia="da-DK"/>
              </w:rPr>
            </w:pPr>
            <w:r w:rsidRPr="006A22C1">
              <w:rPr>
                <w:rFonts w:eastAsia="Times New Roman" w:cs="Arial"/>
                <w:color w:val="000000"/>
                <w:sz w:val="16"/>
                <w:szCs w:val="16"/>
                <w:lang w:eastAsia="da-DK"/>
              </w:rPr>
              <w:t> </w:t>
            </w:r>
          </w:p>
        </w:tc>
        <w:tc>
          <w:tcPr>
            <w:tcW w:w="62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80</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rPr>
                <w:rFonts w:eastAsia="Times New Roman" w:cs="Arial"/>
                <w:color w:val="000000"/>
                <w:sz w:val="16"/>
                <w:szCs w:val="16"/>
                <w:lang w:eastAsia="da-DK"/>
              </w:rPr>
            </w:pPr>
            <w:r w:rsidRPr="006A22C1">
              <w:rPr>
                <w:rFonts w:eastAsia="Times New Roman" w:cs="Arial"/>
                <w:color w:val="000000"/>
                <w:sz w:val="16"/>
                <w:szCs w:val="16"/>
                <w:lang w:eastAsia="da-DK"/>
              </w:rPr>
              <w:t> </w:t>
            </w:r>
          </w:p>
        </w:tc>
        <w:tc>
          <w:tcPr>
            <w:tcW w:w="729" w:type="dxa"/>
            <w:tcBorders>
              <w:top w:val="nil"/>
              <w:left w:val="nil"/>
              <w:bottom w:val="single" w:sz="4" w:space="0" w:color="auto"/>
              <w:right w:val="single" w:sz="4" w:space="0" w:color="auto"/>
            </w:tcBorders>
            <w:shd w:val="clear" w:color="auto" w:fill="auto"/>
            <w:noWrap/>
            <w:vAlign w:val="bottom"/>
            <w:hideMark/>
          </w:tcPr>
          <w:p w:rsidR="006A22C1" w:rsidRPr="00522684" w:rsidRDefault="006A22C1" w:rsidP="006A22C1">
            <w:pPr>
              <w:spacing w:after="0"/>
              <w:jc w:val="right"/>
              <w:rPr>
                <w:rFonts w:eastAsia="Times New Roman" w:cs="Arial"/>
                <w:color w:val="000000"/>
                <w:sz w:val="16"/>
                <w:szCs w:val="16"/>
                <w:lang w:eastAsia="da-DK"/>
              </w:rPr>
            </w:pPr>
            <w:r w:rsidRPr="00522684">
              <w:rPr>
                <w:rFonts w:eastAsia="Times New Roman" w:cs="Arial"/>
                <w:color w:val="000000"/>
                <w:sz w:val="16"/>
                <w:szCs w:val="16"/>
                <w:lang w:eastAsia="da-DK"/>
              </w:rPr>
              <w:t>80</w:t>
            </w:r>
          </w:p>
        </w:tc>
      </w:tr>
      <w:tr w:rsidR="006A22C1" w:rsidRPr="006A22C1" w:rsidTr="006A22C1">
        <w:trPr>
          <w:trHeight w:val="300"/>
        </w:trPr>
        <w:tc>
          <w:tcPr>
            <w:tcW w:w="6299" w:type="dxa"/>
            <w:tcBorders>
              <w:top w:val="nil"/>
              <w:left w:val="single" w:sz="4" w:space="0" w:color="auto"/>
              <w:bottom w:val="single" w:sz="4" w:space="0" w:color="auto"/>
              <w:right w:val="single" w:sz="4" w:space="0" w:color="auto"/>
            </w:tcBorders>
            <w:shd w:val="clear" w:color="auto" w:fill="auto"/>
            <w:noWrap/>
            <w:vAlign w:val="bottom"/>
            <w:hideMark/>
          </w:tcPr>
          <w:p w:rsidR="006A22C1" w:rsidRPr="006A22C1" w:rsidRDefault="006A22C1" w:rsidP="006A22C1">
            <w:pPr>
              <w:spacing w:after="0"/>
              <w:ind w:firstLineChars="300" w:firstLine="480"/>
              <w:rPr>
                <w:rFonts w:eastAsia="Times New Roman" w:cs="Arial"/>
                <w:color w:val="000000"/>
                <w:sz w:val="16"/>
                <w:szCs w:val="16"/>
                <w:lang w:eastAsia="da-DK"/>
              </w:rPr>
            </w:pPr>
            <w:r w:rsidRPr="006A22C1">
              <w:rPr>
                <w:rFonts w:eastAsia="Times New Roman" w:cs="Arial"/>
                <w:color w:val="000000"/>
                <w:sz w:val="16"/>
                <w:szCs w:val="16"/>
                <w:lang w:eastAsia="da-DK"/>
              </w:rPr>
              <w:t>51 Renter af kortfristet gæld til staten</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rPr>
                <w:rFonts w:eastAsia="Times New Roman" w:cs="Arial"/>
                <w:color w:val="000000"/>
                <w:sz w:val="16"/>
                <w:szCs w:val="16"/>
                <w:lang w:eastAsia="da-DK"/>
              </w:rPr>
            </w:pPr>
            <w:r w:rsidRPr="006A22C1">
              <w:rPr>
                <w:rFonts w:eastAsia="Times New Roman" w:cs="Arial"/>
                <w:color w:val="000000"/>
                <w:sz w:val="16"/>
                <w:szCs w:val="16"/>
                <w:lang w:eastAsia="da-DK"/>
              </w:rPr>
              <w:t> </w:t>
            </w:r>
          </w:p>
        </w:tc>
        <w:tc>
          <w:tcPr>
            <w:tcW w:w="83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rPr>
                <w:rFonts w:eastAsia="Times New Roman" w:cs="Arial"/>
                <w:color w:val="000000"/>
                <w:sz w:val="16"/>
                <w:szCs w:val="16"/>
                <w:lang w:eastAsia="da-DK"/>
              </w:rPr>
            </w:pPr>
            <w:r w:rsidRPr="006A22C1">
              <w:rPr>
                <w:rFonts w:eastAsia="Times New Roman" w:cs="Arial"/>
                <w:color w:val="000000"/>
                <w:sz w:val="16"/>
                <w:szCs w:val="16"/>
                <w:lang w:eastAsia="da-DK"/>
              </w:rPr>
              <w:t> </w:t>
            </w:r>
          </w:p>
        </w:tc>
        <w:tc>
          <w:tcPr>
            <w:tcW w:w="647"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rPr>
                <w:rFonts w:eastAsia="Times New Roman" w:cs="Arial"/>
                <w:color w:val="000000"/>
                <w:sz w:val="16"/>
                <w:szCs w:val="16"/>
                <w:lang w:eastAsia="da-DK"/>
              </w:rPr>
            </w:pPr>
            <w:r w:rsidRPr="006A22C1">
              <w:rPr>
                <w:rFonts w:eastAsia="Times New Roman" w:cs="Arial"/>
                <w:color w:val="000000"/>
                <w:sz w:val="16"/>
                <w:szCs w:val="16"/>
                <w:lang w:eastAsia="da-DK"/>
              </w:rPr>
              <w:t> </w:t>
            </w:r>
          </w:p>
        </w:tc>
        <w:tc>
          <w:tcPr>
            <w:tcW w:w="62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rPr>
                <w:rFonts w:eastAsia="Times New Roman" w:cs="Arial"/>
                <w:color w:val="000000"/>
                <w:sz w:val="16"/>
                <w:szCs w:val="16"/>
                <w:lang w:eastAsia="da-DK"/>
              </w:rPr>
            </w:pPr>
            <w:r w:rsidRPr="006A22C1">
              <w:rPr>
                <w:rFonts w:eastAsia="Times New Roman" w:cs="Arial"/>
                <w:color w:val="000000"/>
                <w:sz w:val="16"/>
                <w:szCs w:val="16"/>
                <w:lang w:eastAsia="da-DK"/>
              </w:rPr>
              <w:t> </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-111</w:t>
            </w:r>
          </w:p>
        </w:tc>
        <w:tc>
          <w:tcPr>
            <w:tcW w:w="729" w:type="dxa"/>
            <w:tcBorders>
              <w:top w:val="nil"/>
              <w:left w:val="nil"/>
              <w:bottom w:val="single" w:sz="4" w:space="0" w:color="auto"/>
              <w:right w:val="single" w:sz="4" w:space="0" w:color="auto"/>
            </w:tcBorders>
            <w:shd w:val="clear" w:color="auto" w:fill="auto"/>
            <w:noWrap/>
            <w:vAlign w:val="bottom"/>
            <w:hideMark/>
          </w:tcPr>
          <w:p w:rsidR="006A22C1" w:rsidRPr="00522684" w:rsidRDefault="006A22C1" w:rsidP="006A22C1">
            <w:pPr>
              <w:spacing w:after="0"/>
              <w:jc w:val="right"/>
              <w:rPr>
                <w:rFonts w:eastAsia="Times New Roman" w:cs="Arial"/>
                <w:color w:val="000000"/>
                <w:sz w:val="16"/>
                <w:szCs w:val="16"/>
                <w:lang w:eastAsia="da-DK"/>
              </w:rPr>
            </w:pPr>
            <w:r w:rsidRPr="00522684">
              <w:rPr>
                <w:rFonts w:eastAsia="Times New Roman" w:cs="Arial"/>
                <w:color w:val="000000"/>
                <w:sz w:val="16"/>
                <w:szCs w:val="16"/>
                <w:lang w:eastAsia="da-DK"/>
              </w:rPr>
              <w:t>111</w:t>
            </w:r>
          </w:p>
        </w:tc>
      </w:tr>
      <w:tr w:rsidR="006A22C1" w:rsidRPr="006A22C1" w:rsidTr="006A22C1">
        <w:trPr>
          <w:trHeight w:val="300"/>
        </w:trPr>
        <w:tc>
          <w:tcPr>
            <w:tcW w:w="6299" w:type="dxa"/>
            <w:tcBorders>
              <w:top w:val="nil"/>
              <w:left w:val="single" w:sz="4" w:space="0" w:color="auto"/>
              <w:bottom w:val="single" w:sz="4" w:space="0" w:color="auto"/>
              <w:right w:val="single" w:sz="4" w:space="0" w:color="auto"/>
            </w:tcBorders>
            <w:shd w:val="clear" w:color="auto" w:fill="auto"/>
            <w:noWrap/>
            <w:vAlign w:val="bottom"/>
            <w:hideMark/>
          </w:tcPr>
          <w:p w:rsidR="006A22C1" w:rsidRPr="006A22C1" w:rsidRDefault="006A22C1" w:rsidP="006A22C1">
            <w:pPr>
              <w:spacing w:after="0"/>
              <w:ind w:firstLineChars="300" w:firstLine="480"/>
              <w:rPr>
                <w:rFonts w:eastAsia="Times New Roman" w:cs="Arial"/>
                <w:color w:val="000000"/>
                <w:sz w:val="16"/>
                <w:szCs w:val="16"/>
                <w:lang w:eastAsia="da-DK"/>
              </w:rPr>
            </w:pPr>
            <w:r w:rsidRPr="006A22C1">
              <w:rPr>
                <w:rFonts w:eastAsia="Times New Roman" w:cs="Arial"/>
                <w:color w:val="000000"/>
                <w:sz w:val="16"/>
                <w:szCs w:val="16"/>
                <w:lang w:eastAsia="da-DK"/>
              </w:rPr>
              <w:t>52 Renter af kortfristet gæld i øvrigt</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839</w:t>
            </w:r>
          </w:p>
        </w:tc>
        <w:tc>
          <w:tcPr>
            <w:tcW w:w="83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200</w:t>
            </w:r>
          </w:p>
        </w:tc>
        <w:tc>
          <w:tcPr>
            <w:tcW w:w="647"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rPr>
                <w:rFonts w:eastAsia="Times New Roman" w:cs="Arial"/>
                <w:color w:val="000000"/>
                <w:sz w:val="16"/>
                <w:szCs w:val="16"/>
                <w:lang w:eastAsia="da-DK"/>
              </w:rPr>
            </w:pPr>
            <w:r w:rsidRPr="006A22C1">
              <w:rPr>
                <w:rFonts w:eastAsia="Times New Roman" w:cs="Arial"/>
                <w:color w:val="000000"/>
                <w:sz w:val="16"/>
                <w:szCs w:val="16"/>
                <w:lang w:eastAsia="da-DK"/>
              </w:rPr>
              <w:t> </w:t>
            </w:r>
          </w:p>
        </w:tc>
        <w:tc>
          <w:tcPr>
            <w:tcW w:w="62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200</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43</w:t>
            </w:r>
          </w:p>
        </w:tc>
        <w:tc>
          <w:tcPr>
            <w:tcW w:w="729" w:type="dxa"/>
            <w:tcBorders>
              <w:top w:val="nil"/>
              <w:left w:val="nil"/>
              <w:bottom w:val="single" w:sz="4" w:space="0" w:color="auto"/>
              <w:right w:val="single" w:sz="4" w:space="0" w:color="auto"/>
            </w:tcBorders>
            <w:shd w:val="clear" w:color="auto" w:fill="auto"/>
            <w:noWrap/>
            <w:vAlign w:val="bottom"/>
            <w:hideMark/>
          </w:tcPr>
          <w:p w:rsidR="006A22C1" w:rsidRPr="00522684" w:rsidRDefault="006A22C1" w:rsidP="006A22C1">
            <w:pPr>
              <w:spacing w:after="0"/>
              <w:jc w:val="right"/>
              <w:rPr>
                <w:rFonts w:eastAsia="Times New Roman" w:cs="Arial"/>
                <w:color w:val="000000"/>
                <w:sz w:val="16"/>
                <w:szCs w:val="16"/>
                <w:lang w:eastAsia="da-DK"/>
              </w:rPr>
            </w:pPr>
            <w:r w:rsidRPr="00522684">
              <w:rPr>
                <w:rFonts w:eastAsia="Times New Roman" w:cs="Arial"/>
                <w:color w:val="000000"/>
                <w:sz w:val="16"/>
                <w:szCs w:val="16"/>
                <w:lang w:eastAsia="da-DK"/>
              </w:rPr>
              <w:t>157</w:t>
            </w:r>
          </w:p>
        </w:tc>
      </w:tr>
      <w:tr w:rsidR="006A22C1" w:rsidRPr="006A22C1" w:rsidTr="006A22C1">
        <w:trPr>
          <w:trHeight w:val="300"/>
        </w:trPr>
        <w:tc>
          <w:tcPr>
            <w:tcW w:w="6299" w:type="dxa"/>
            <w:tcBorders>
              <w:top w:val="nil"/>
              <w:left w:val="single" w:sz="4" w:space="0" w:color="auto"/>
              <w:bottom w:val="single" w:sz="4" w:space="0" w:color="auto"/>
              <w:right w:val="single" w:sz="4" w:space="0" w:color="auto"/>
            </w:tcBorders>
            <w:shd w:val="clear" w:color="auto" w:fill="auto"/>
            <w:noWrap/>
            <w:vAlign w:val="bottom"/>
            <w:hideMark/>
          </w:tcPr>
          <w:p w:rsidR="006A22C1" w:rsidRPr="006A22C1" w:rsidRDefault="006A22C1" w:rsidP="006A22C1">
            <w:pPr>
              <w:spacing w:after="0"/>
              <w:ind w:firstLineChars="300" w:firstLine="480"/>
              <w:rPr>
                <w:rFonts w:eastAsia="Times New Roman" w:cs="Arial"/>
                <w:color w:val="000000"/>
                <w:sz w:val="16"/>
                <w:szCs w:val="16"/>
                <w:lang w:eastAsia="da-DK"/>
              </w:rPr>
            </w:pPr>
            <w:r w:rsidRPr="006A22C1">
              <w:rPr>
                <w:rFonts w:eastAsia="Times New Roman" w:cs="Arial"/>
                <w:color w:val="000000"/>
                <w:sz w:val="16"/>
                <w:szCs w:val="16"/>
                <w:lang w:eastAsia="da-DK"/>
              </w:rPr>
              <w:t>55 Renter af langfristet gæld</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5.934</w:t>
            </w:r>
          </w:p>
        </w:tc>
        <w:tc>
          <w:tcPr>
            <w:tcW w:w="83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8.021</w:t>
            </w:r>
          </w:p>
        </w:tc>
        <w:tc>
          <w:tcPr>
            <w:tcW w:w="647"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rPr>
                <w:rFonts w:eastAsia="Times New Roman" w:cs="Arial"/>
                <w:color w:val="000000"/>
                <w:sz w:val="16"/>
                <w:szCs w:val="16"/>
                <w:lang w:eastAsia="da-DK"/>
              </w:rPr>
            </w:pPr>
            <w:r w:rsidRPr="006A22C1">
              <w:rPr>
                <w:rFonts w:eastAsia="Times New Roman" w:cs="Arial"/>
                <w:color w:val="000000"/>
                <w:sz w:val="16"/>
                <w:szCs w:val="16"/>
                <w:lang w:eastAsia="da-DK"/>
              </w:rPr>
              <w:t> </w:t>
            </w:r>
          </w:p>
        </w:tc>
        <w:tc>
          <w:tcPr>
            <w:tcW w:w="62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8.021</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20.632</w:t>
            </w:r>
          </w:p>
        </w:tc>
        <w:tc>
          <w:tcPr>
            <w:tcW w:w="729" w:type="dxa"/>
            <w:tcBorders>
              <w:top w:val="nil"/>
              <w:left w:val="nil"/>
              <w:bottom w:val="single" w:sz="4" w:space="0" w:color="auto"/>
              <w:right w:val="single" w:sz="4" w:space="0" w:color="auto"/>
            </w:tcBorders>
            <w:shd w:val="clear" w:color="auto" w:fill="auto"/>
            <w:noWrap/>
            <w:vAlign w:val="bottom"/>
            <w:hideMark/>
          </w:tcPr>
          <w:p w:rsidR="006A22C1" w:rsidRPr="00522684" w:rsidRDefault="006A22C1" w:rsidP="006A22C1">
            <w:pPr>
              <w:spacing w:after="0"/>
              <w:jc w:val="right"/>
              <w:rPr>
                <w:rFonts w:eastAsia="Times New Roman" w:cs="Arial"/>
                <w:color w:val="000000"/>
                <w:sz w:val="16"/>
                <w:szCs w:val="16"/>
                <w:lang w:eastAsia="da-DK"/>
              </w:rPr>
            </w:pPr>
            <w:r w:rsidRPr="00522684">
              <w:rPr>
                <w:rFonts w:eastAsia="Times New Roman" w:cs="Arial"/>
                <w:color w:val="000000"/>
                <w:sz w:val="16"/>
                <w:szCs w:val="16"/>
                <w:lang w:eastAsia="da-DK"/>
              </w:rPr>
              <w:t>-12.611</w:t>
            </w:r>
          </w:p>
        </w:tc>
      </w:tr>
      <w:tr w:rsidR="006A22C1" w:rsidRPr="006A22C1" w:rsidTr="006A22C1">
        <w:trPr>
          <w:trHeight w:val="300"/>
        </w:trPr>
        <w:tc>
          <w:tcPr>
            <w:tcW w:w="6299" w:type="dxa"/>
            <w:tcBorders>
              <w:top w:val="nil"/>
              <w:left w:val="single" w:sz="4" w:space="0" w:color="auto"/>
              <w:bottom w:val="single" w:sz="4" w:space="0" w:color="auto"/>
              <w:right w:val="single" w:sz="4" w:space="0" w:color="auto"/>
            </w:tcBorders>
            <w:shd w:val="clear" w:color="auto" w:fill="auto"/>
            <w:noWrap/>
            <w:vAlign w:val="bottom"/>
            <w:hideMark/>
          </w:tcPr>
          <w:p w:rsidR="006A22C1" w:rsidRPr="006A22C1" w:rsidRDefault="006A22C1" w:rsidP="006A22C1">
            <w:pPr>
              <w:spacing w:after="0"/>
              <w:ind w:firstLineChars="300" w:firstLine="480"/>
              <w:rPr>
                <w:rFonts w:eastAsia="Times New Roman" w:cs="Arial"/>
                <w:color w:val="000000"/>
                <w:sz w:val="16"/>
                <w:szCs w:val="16"/>
                <w:lang w:eastAsia="da-DK"/>
              </w:rPr>
            </w:pPr>
            <w:r w:rsidRPr="006A22C1">
              <w:rPr>
                <w:rFonts w:eastAsia="Times New Roman" w:cs="Arial"/>
                <w:color w:val="000000"/>
                <w:sz w:val="16"/>
                <w:szCs w:val="16"/>
                <w:lang w:eastAsia="da-DK"/>
              </w:rPr>
              <w:t>58 Kurstab og kursgevinster m.v.</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6.068</w:t>
            </w:r>
          </w:p>
        </w:tc>
        <w:tc>
          <w:tcPr>
            <w:tcW w:w="83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140</w:t>
            </w:r>
          </w:p>
        </w:tc>
        <w:tc>
          <w:tcPr>
            <w:tcW w:w="647"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rPr>
                <w:rFonts w:eastAsia="Times New Roman" w:cs="Arial"/>
                <w:color w:val="000000"/>
                <w:sz w:val="16"/>
                <w:szCs w:val="16"/>
                <w:lang w:eastAsia="da-DK"/>
              </w:rPr>
            </w:pPr>
            <w:r w:rsidRPr="006A22C1">
              <w:rPr>
                <w:rFonts w:eastAsia="Times New Roman" w:cs="Arial"/>
                <w:color w:val="000000"/>
                <w:sz w:val="16"/>
                <w:szCs w:val="16"/>
                <w:lang w:eastAsia="da-DK"/>
              </w:rPr>
              <w:t> </w:t>
            </w:r>
          </w:p>
        </w:tc>
        <w:tc>
          <w:tcPr>
            <w:tcW w:w="62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140</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522684" w:rsidP="006A22C1">
            <w:pPr>
              <w:spacing w:after="0"/>
              <w:jc w:val="right"/>
              <w:rPr>
                <w:rFonts w:eastAsia="Times New Roman" w:cs="Arial"/>
                <w:color w:val="000000"/>
                <w:sz w:val="16"/>
                <w:szCs w:val="16"/>
                <w:lang w:eastAsia="da-DK"/>
              </w:rPr>
            </w:pPr>
            <w:r>
              <w:rPr>
                <w:rFonts w:eastAsia="Times New Roman" w:cs="Arial"/>
                <w:color w:val="000000"/>
                <w:sz w:val="16"/>
                <w:szCs w:val="16"/>
                <w:lang w:eastAsia="da-DK"/>
              </w:rPr>
              <w:t>-2.415</w:t>
            </w:r>
          </w:p>
        </w:tc>
        <w:tc>
          <w:tcPr>
            <w:tcW w:w="729" w:type="dxa"/>
            <w:tcBorders>
              <w:top w:val="nil"/>
              <w:left w:val="nil"/>
              <w:bottom w:val="single" w:sz="4" w:space="0" w:color="auto"/>
              <w:right w:val="single" w:sz="4" w:space="0" w:color="auto"/>
            </w:tcBorders>
            <w:shd w:val="clear" w:color="auto" w:fill="auto"/>
            <w:noWrap/>
            <w:vAlign w:val="bottom"/>
            <w:hideMark/>
          </w:tcPr>
          <w:p w:rsidR="006A22C1" w:rsidRPr="00522684" w:rsidRDefault="00522684" w:rsidP="006A22C1">
            <w:pPr>
              <w:spacing w:after="0"/>
              <w:jc w:val="right"/>
              <w:rPr>
                <w:rFonts w:eastAsia="Times New Roman" w:cs="Arial"/>
                <w:color w:val="000000"/>
                <w:sz w:val="16"/>
                <w:szCs w:val="16"/>
                <w:lang w:eastAsia="da-DK"/>
              </w:rPr>
            </w:pPr>
            <w:r w:rsidRPr="00522684">
              <w:rPr>
                <w:rFonts w:eastAsia="Times New Roman" w:cs="Arial"/>
                <w:color w:val="000000"/>
                <w:sz w:val="16"/>
                <w:szCs w:val="16"/>
                <w:lang w:eastAsia="da-DK"/>
              </w:rPr>
              <w:t>2.555</w:t>
            </w:r>
          </w:p>
        </w:tc>
      </w:tr>
      <w:tr w:rsidR="006A22C1" w:rsidRPr="006A22C1" w:rsidTr="006A22C1">
        <w:trPr>
          <w:trHeight w:val="300"/>
        </w:trPr>
        <w:tc>
          <w:tcPr>
            <w:tcW w:w="6299" w:type="dxa"/>
            <w:tcBorders>
              <w:top w:val="nil"/>
              <w:left w:val="single" w:sz="4" w:space="0" w:color="auto"/>
              <w:bottom w:val="single" w:sz="4" w:space="0" w:color="auto"/>
              <w:right w:val="single" w:sz="4" w:space="0" w:color="auto"/>
            </w:tcBorders>
            <w:shd w:val="clear" w:color="auto" w:fill="auto"/>
            <w:noWrap/>
            <w:vAlign w:val="bottom"/>
            <w:hideMark/>
          </w:tcPr>
          <w:p w:rsidR="006A22C1" w:rsidRPr="006A22C1" w:rsidRDefault="006A22C1" w:rsidP="006A22C1">
            <w:pPr>
              <w:spacing w:after="0"/>
              <w:ind w:firstLineChars="100" w:firstLine="160"/>
              <w:rPr>
                <w:rFonts w:eastAsia="Times New Roman" w:cs="Arial"/>
                <w:b/>
                <w:bCs/>
                <w:color w:val="000000"/>
                <w:sz w:val="16"/>
                <w:szCs w:val="16"/>
                <w:lang w:eastAsia="da-DK"/>
              </w:rPr>
            </w:pPr>
            <w:r w:rsidRPr="006A22C1">
              <w:rPr>
                <w:rFonts w:eastAsia="Times New Roman" w:cs="Arial"/>
                <w:b/>
                <w:bCs/>
                <w:color w:val="000000"/>
                <w:sz w:val="16"/>
                <w:szCs w:val="16"/>
                <w:lang w:eastAsia="da-DK"/>
              </w:rPr>
              <w:t>9 Social- og Sundhedsudvalget</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-6</w:t>
            </w:r>
          </w:p>
        </w:tc>
        <w:tc>
          <w:tcPr>
            <w:tcW w:w="83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p>
        </w:tc>
        <w:tc>
          <w:tcPr>
            <w:tcW w:w="647"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rPr>
                <w:rFonts w:eastAsia="Times New Roman" w:cs="Arial"/>
                <w:color w:val="000000"/>
                <w:sz w:val="16"/>
                <w:szCs w:val="16"/>
                <w:lang w:eastAsia="da-DK"/>
              </w:rPr>
            </w:pPr>
            <w:r w:rsidRPr="006A22C1">
              <w:rPr>
                <w:rFonts w:eastAsia="Times New Roman" w:cs="Arial"/>
                <w:color w:val="000000"/>
                <w:sz w:val="16"/>
                <w:szCs w:val="16"/>
                <w:lang w:eastAsia="da-DK"/>
              </w:rPr>
              <w:t> </w:t>
            </w:r>
          </w:p>
        </w:tc>
        <w:tc>
          <w:tcPr>
            <w:tcW w:w="62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rPr>
                <w:rFonts w:eastAsia="Times New Roman" w:cs="Arial"/>
                <w:color w:val="000000"/>
                <w:sz w:val="16"/>
                <w:szCs w:val="16"/>
                <w:lang w:eastAsia="da-DK"/>
              </w:rPr>
            </w:pPr>
            <w:r w:rsidRPr="006A22C1">
              <w:rPr>
                <w:rFonts w:eastAsia="Times New Roman" w:cs="Arial"/>
                <w:color w:val="000000"/>
                <w:sz w:val="16"/>
                <w:szCs w:val="16"/>
                <w:lang w:eastAsia="da-DK"/>
              </w:rPr>
              <w:t> </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712CA4" w:rsidP="006A22C1">
            <w:pPr>
              <w:spacing w:after="0"/>
              <w:jc w:val="right"/>
              <w:rPr>
                <w:rFonts w:eastAsia="Times New Roman" w:cs="Arial"/>
                <w:color w:val="000000"/>
                <w:sz w:val="16"/>
                <w:szCs w:val="16"/>
                <w:lang w:eastAsia="da-DK"/>
              </w:rPr>
            </w:pPr>
            <w:r>
              <w:rPr>
                <w:rFonts w:eastAsia="Times New Roman" w:cs="Arial"/>
                <w:color w:val="000000"/>
                <w:sz w:val="16"/>
                <w:szCs w:val="16"/>
                <w:lang w:eastAsia="da-DK"/>
              </w:rPr>
              <w:t>-6</w:t>
            </w:r>
          </w:p>
        </w:tc>
        <w:tc>
          <w:tcPr>
            <w:tcW w:w="729" w:type="dxa"/>
            <w:tcBorders>
              <w:top w:val="nil"/>
              <w:left w:val="nil"/>
              <w:bottom w:val="single" w:sz="4" w:space="0" w:color="auto"/>
              <w:right w:val="single" w:sz="4" w:space="0" w:color="auto"/>
            </w:tcBorders>
            <w:shd w:val="clear" w:color="auto" w:fill="auto"/>
            <w:noWrap/>
            <w:vAlign w:val="bottom"/>
            <w:hideMark/>
          </w:tcPr>
          <w:p w:rsidR="006A22C1" w:rsidRPr="00522684" w:rsidRDefault="00654AD8" w:rsidP="006A22C1">
            <w:pPr>
              <w:spacing w:after="0"/>
              <w:jc w:val="right"/>
              <w:rPr>
                <w:rFonts w:eastAsia="Times New Roman" w:cs="Arial"/>
                <w:b/>
                <w:color w:val="000000"/>
                <w:sz w:val="16"/>
                <w:szCs w:val="16"/>
                <w:lang w:eastAsia="da-DK"/>
              </w:rPr>
            </w:pPr>
            <w:r w:rsidRPr="00522684">
              <w:rPr>
                <w:rFonts w:eastAsia="Times New Roman" w:cs="Arial"/>
                <w:b/>
                <w:color w:val="000000"/>
                <w:sz w:val="16"/>
                <w:szCs w:val="16"/>
                <w:lang w:eastAsia="da-DK"/>
              </w:rPr>
              <w:t>6</w:t>
            </w:r>
          </w:p>
        </w:tc>
      </w:tr>
      <w:tr w:rsidR="006A22C1" w:rsidRPr="006A22C1" w:rsidTr="006A22C1">
        <w:trPr>
          <w:trHeight w:val="300"/>
        </w:trPr>
        <w:tc>
          <w:tcPr>
            <w:tcW w:w="6299" w:type="dxa"/>
            <w:tcBorders>
              <w:top w:val="nil"/>
              <w:left w:val="single" w:sz="4" w:space="0" w:color="auto"/>
              <w:bottom w:val="single" w:sz="4" w:space="0" w:color="auto"/>
              <w:right w:val="single" w:sz="4" w:space="0" w:color="auto"/>
            </w:tcBorders>
            <w:shd w:val="clear" w:color="auto" w:fill="auto"/>
            <w:noWrap/>
            <w:vAlign w:val="bottom"/>
            <w:hideMark/>
          </w:tcPr>
          <w:p w:rsidR="006A22C1" w:rsidRPr="006A22C1" w:rsidRDefault="006A22C1" w:rsidP="006A22C1">
            <w:pPr>
              <w:spacing w:after="0"/>
              <w:ind w:firstLineChars="200" w:firstLine="320"/>
              <w:rPr>
                <w:rFonts w:eastAsia="Times New Roman" w:cs="Arial"/>
                <w:color w:val="000000"/>
                <w:sz w:val="16"/>
                <w:szCs w:val="16"/>
                <w:lang w:eastAsia="da-DK"/>
              </w:rPr>
            </w:pPr>
            <w:r w:rsidRPr="006A22C1">
              <w:rPr>
                <w:rFonts w:eastAsia="Times New Roman" w:cs="Arial"/>
                <w:color w:val="000000"/>
                <w:sz w:val="16"/>
                <w:szCs w:val="16"/>
                <w:lang w:eastAsia="da-DK"/>
              </w:rPr>
              <w:t>07 Renter, tilskud, udligning, skatter m.v.</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rPr>
                <w:rFonts w:eastAsia="Times New Roman" w:cs="Arial"/>
                <w:color w:val="000000"/>
                <w:sz w:val="16"/>
                <w:szCs w:val="16"/>
                <w:lang w:eastAsia="da-DK"/>
              </w:rPr>
            </w:pPr>
            <w:r w:rsidRPr="006A22C1">
              <w:rPr>
                <w:rFonts w:eastAsia="Times New Roman" w:cs="Arial"/>
                <w:color w:val="000000"/>
                <w:sz w:val="16"/>
                <w:szCs w:val="16"/>
                <w:lang w:eastAsia="da-DK"/>
              </w:rPr>
              <w:t> </w:t>
            </w:r>
          </w:p>
        </w:tc>
        <w:tc>
          <w:tcPr>
            <w:tcW w:w="83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p>
        </w:tc>
        <w:tc>
          <w:tcPr>
            <w:tcW w:w="647"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rPr>
                <w:rFonts w:eastAsia="Times New Roman" w:cs="Arial"/>
                <w:color w:val="000000"/>
                <w:sz w:val="16"/>
                <w:szCs w:val="16"/>
                <w:lang w:eastAsia="da-DK"/>
              </w:rPr>
            </w:pPr>
            <w:r w:rsidRPr="006A22C1">
              <w:rPr>
                <w:rFonts w:eastAsia="Times New Roman" w:cs="Arial"/>
                <w:color w:val="000000"/>
                <w:sz w:val="16"/>
                <w:szCs w:val="16"/>
                <w:lang w:eastAsia="da-DK"/>
              </w:rPr>
              <w:t> </w:t>
            </w:r>
          </w:p>
        </w:tc>
        <w:tc>
          <w:tcPr>
            <w:tcW w:w="62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rPr>
                <w:rFonts w:eastAsia="Times New Roman" w:cs="Arial"/>
                <w:color w:val="000000"/>
                <w:sz w:val="16"/>
                <w:szCs w:val="16"/>
                <w:lang w:eastAsia="da-DK"/>
              </w:rPr>
            </w:pPr>
            <w:r w:rsidRPr="006A22C1">
              <w:rPr>
                <w:rFonts w:eastAsia="Times New Roman" w:cs="Arial"/>
                <w:color w:val="000000"/>
                <w:sz w:val="16"/>
                <w:szCs w:val="16"/>
                <w:lang w:eastAsia="da-DK"/>
              </w:rPr>
              <w:t> </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rPr>
                <w:rFonts w:eastAsia="Times New Roman" w:cs="Arial"/>
                <w:color w:val="000000"/>
                <w:sz w:val="16"/>
                <w:szCs w:val="16"/>
                <w:lang w:eastAsia="da-DK"/>
              </w:rPr>
            </w:pPr>
            <w:r w:rsidRPr="006A22C1">
              <w:rPr>
                <w:rFonts w:eastAsia="Times New Roman" w:cs="Arial"/>
                <w:color w:val="000000"/>
                <w:sz w:val="16"/>
                <w:szCs w:val="16"/>
                <w:lang w:eastAsia="da-DK"/>
              </w:rPr>
              <w:t> </w:t>
            </w:r>
          </w:p>
        </w:tc>
        <w:tc>
          <w:tcPr>
            <w:tcW w:w="729" w:type="dxa"/>
            <w:tcBorders>
              <w:top w:val="nil"/>
              <w:left w:val="nil"/>
              <w:bottom w:val="single" w:sz="4" w:space="0" w:color="auto"/>
              <w:right w:val="single" w:sz="4" w:space="0" w:color="auto"/>
            </w:tcBorders>
            <w:shd w:val="clear" w:color="auto" w:fill="auto"/>
            <w:noWrap/>
            <w:vAlign w:val="bottom"/>
            <w:hideMark/>
          </w:tcPr>
          <w:p w:rsidR="006A22C1" w:rsidRPr="00522684" w:rsidRDefault="006A22C1" w:rsidP="006A22C1">
            <w:pPr>
              <w:spacing w:after="0"/>
              <w:rPr>
                <w:rFonts w:eastAsia="Times New Roman" w:cs="Arial"/>
                <w:color w:val="000000"/>
                <w:sz w:val="16"/>
                <w:szCs w:val="16"/>
                <w:lang w:eastAsia="da-DK"/>
              </w:rPr>
            </w:pPr>
            <w:r w:rsidRPr="00522684">
              <w:rPr>
                <w:rFonts w:eastAsia="Times New Roman" w:cs="Arial"/>
                <w:color w:val="000000"/>
                <w:sz w:val="16"/>
                <w:szCs w:val="16"/>
                <w:lang w:eastAsia="da-DK"/>
              </w:rPr>
              <w:t> </w:t>
            </w:r>
          </w:p>
        </w:tc>
      </w:tr>
      <w:tr w:rsidR="006A22C1" w:rsidRPr="006A22C1" w:rsidTr="006A22C1">
        <w:trPr>
          <w:trHeight w:val="300"/>
        </w:trPr>
        <w:tc>
          <w:tcPr>
            <w:tcW w:w="6299" w:type="dxa"/>
            <w:tcBorders>
              <w:top w:val="nil"/>
              <w:left w:val="single" w:sz="4" w:space="0" w:color="auto"/>
              <w:bottom w:val="single" w:sz="4" w:space="0" w:color="auto"/>
              <w:right w:val="single" w:sz="4" w:space="0" w:color="auto"/>
            </w:tcBorders>
            <w:shd w:val="clear" w:color="auto" w:fill="auto"/>
            <w:noWrap/>
            <w:vAlign w:val="bottom"/>
            <w:hideMark/>
          </w:tcPr>
          <w:p w:rsidR="006A22C1" w:rsidRPr="006A22C1" w:rsidRDefault="006A22C1" w:rsidP="006A22C1">
            <w:pPr>
              <w:spacing w:after="0"/>
              <w:ind w:firstLineChars="300" w:firstLine="480"/>
              <w:rPr>
                <w:rFonts w:eastAsia="Times New Roman" w:cs="Arial"/>
                <w:color w:val="000000"/>
                <w:sz w:val="16"/>
                <w:szCs w:val="16"/>
                <w:lang w:eastAsia="da-DK"/>
              </w:rPr>
            </w:pPr>
            <w:r w:rsidRPr="006A22C1">
              <w:rPr>
                <w:rFonts w:eastAsia="Times New Roman" w:cs="Arial"/>
                <w:color w:val="000000"/>
                <w:sz w:val="16"/>
                <w:szCs w:val="16"/>
                <w:lang w:eastAsia="da-DK"/>
              </w:rPr>
              <w:t>32 Renter af langfristede tilgodehavender</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color w:val="000000"/>
                <w:sz w:val="16"/>
                <w:szCs w:val="16"/>
                <w:lang w:eastAsia="da-DK"/>
              </w:rPr>
            </w:pPr>
            <w:r w:rsidRPr="006A22C1">
              <w:rPr>
                <w:rFonts w:eastAsia="Times New Roman" w:cs="Arial"/>
                <w:color w:val="000000"/>
                <w:sz w:val="16"/>
                <w:szCs w:val="16"/>
                <w:lang w:eastAsia="da-DK"/>
              </w:rPr>
              <w:t>-6</w:t>
            </w:r>
          </w:p>
        </w:tc>
        <w:tc>
          <w:tcPr>
            <w:tcW w:w="83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rPr>
                <w:rFonts w:eastAsia="Times New Roman" w:cs="Arial"/>
                <w:color w:val="000000"/>
                <w:sz w:val="16"/>
                <w:szCs w:val="16"/>
                <w:lang w:eastAsia="da-DK"/>
              </w:rPr>
            </w:pPr>
            <w:r w:rsidRPr="006A22C1">
              <w:rPr>
                <w:rFonts w:eastAsia="Times New Roman" w:cs="Arial"/>
                <w:color w:val="000000"/>
                <w:sz w:val="16"/>
                <w:szCs w:val="16"/>
                <w:lang w:eastAsia="da-DK"/>
              </w:rPr>
              <w:t> </w:t>
            </w:r>
          </w:p>
        </w:tc>
        <w:tc>
          <w:tcPr>
            <w:tcW w:w="647"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rPr>
                <w:rFonts w:eastAsia="Times New Roman" w:cs="Arial"/>
                <w:color w:val="000000"/>
                <w:sz w:val="16"/>
                <w:szCs w:val="16"/>
                <w:lang w:eastAsia="da-DK"/>
              </w:rPr>
            </w:pPr>
            <w:r w:rsidRPr="006A22C1">
              <w:rPr>
                <w:rFonts w:eastAsia="Times New Roman" w:cs="Arial"/>
                <w:color w:val="000000"/>
                <w:sz w:val="16"/>
                <w:szCs w:val="16"/>
                <w:lang w:eastAsia="da-DK"/>
              </w:rPr>
              <w:t> </w:t>
            </w:r>
          </w:p>
        </w:tc>
        <w:tc>
          <w:tcPr>
            <w:tcW w:w="62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rPr>
                <w:rFonts w:eastAsia="Times New Roman" w:cs="Arial"/>
                <w:color w:val="000000"/>
                <w:sz w:val="16"/>
                <w:szCs w:val="16"/>
                <w:lang w:eastAsia="da-DK"/>
              </w:rPr>
            </w:pPr>
            <w:r w:rsidRPr="006A22C1">
              <w:rPr>
                <w:rFonts w:eastAsia="Times New Roman" w:cs="Arial"/>
                <w:color w:val="000000"/>
                <w:sz w:val="16"/>
                <w:szCs w:val="16"/>
                <w:lang w:eastAsia="da-DK"/>
              </w:rPr>
              <w:t> </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654AD8" w:rsidP="006A22C1">
            <w:pPr>
              <w:spacing w:after="0"/>
              <w:jc w:val="right"/>
              <w:rPr>
                <w:rFonts w:eastAsia="Times New Roman" w:cs="Arial"/>
                <w:color w:val="000000"/>
                <w:sz w:val="16"/>
                <w:szCs w:val="16"/>
                <w:lang w:eastAsia="da-DK"/>
              </w:rPr>
            </w:pPr>
            <w:r>
              <w:rPr>
                <w:rFonts w:eastAsia="Times New Roman" w:cs="Arial"/>
                <w:color w:val="000000"/>
                <w:sz w:val="16"/>
                <w:szCs w:val="16"/>
                <w:lang w:eastAsia="da-DK"/>
              </w:rPr>
              <w:t>-6</w:t>
            </w:r>
          </w:p>
        </w:tc>
        <w:tc>
          <w:tcPr>
            <w:tcW w:w="729" w:type="dxa"/>
            <w:tcBorders>
              <w:top w:val="nil"/>
              <w:left w:val="nil"/>
              <w:bottom w:val="single" w:sz="4" w:space="0" w:color="auto"/>
              <w:right w:val="single" w:sz="4" w:space="0" w:color="auto"/>
            </w:tcBorders>
            <w:shd w:val="clear" w:color="auto" w:fill="auto"/>
            <w:noWrap/>
            <w:vAlign w:val="bottom"/>
            <w:hideMark/>
          </w:tcPr>
          <w:p w:rsidR="006A22C1" w:rsidRPr="006A22C1" w:rsidRDefault="00654AD8" w:rsidP="006A22C1">
            <w:pPr>
              <w:spacing w:after="0"/>
              <w:jc w:val="right"/>
              <w:rPr>
                <w:rFonts w:eastAsia="Times New Roman" w:cs="Arial"/>
                <w:color w:val="000000"/>
                <w:sz w:val="16"/>
                <w:szCs w:val="16"/>
                <w:lang w:eastAsia="da-DK"/>
              </w:rPr>
            </w:pPr>
            <w:r>
              <w:rPr>
                <w:rFonts w:eastAsia="Times New Roman" w:cs="Arial"/>
                <w:color w:val="000000"/>
                <w:sz w:val="16"/>
                <w:szCs w:val="16"/>
                <w:lang w:eastAsia="da-DK"/>
              </w:rPr>
              <w:t>6</w:t>
            </w:r>
          </w:p>
        </w:tc>
      </w:tr>
      <w:tr w:rsidR="006A22C1" w:rsidRPr="006A22C1" w:rsidTr="006A22C1">
        <w:trPr>
          <w:trHeight w:val="300"/>
        </w:trPr>
        <w:tc>
          <w:tcPr>
            <w:tcW w:w="6299" w:type="dxa"/>
            <w:tcBorders>
              <w:top w:val="nil"/>
              <w:left w:val="single" w:sz="4" w:space="0" w:color="auto"/>
              <w:bottom w:val="single" w:sz="4" w:space="0" w:color="auto"/>
              <w:right w:val="single" w:sz="4" w:space="0" w:color="auto"/>
            </w:tcBorders>
            <w:shd w:val="clear" w:color="auto" w:fill="auto"/>
            <w:vAlign w:val="bottom"/>
            <w:hideMark/>
          </w:tcPr>
          <w:p w:rsidR="006A22C1" w:rsidRPr="006A22C1" w:rsidRDefault="006A22C1" w:rsidP="006A22C1">
            <w:pPr>
              <w:spacing w:after="0"/>
              <w:rPr>
                <w:rFonts w:eastAsia="Times New Roman" w:cs="Arial"/>
                <w:b/>
                <w:bCs/>
                <w:sz w:val="16"/>
                <w:szCs w:val="16"/>
                <w:lang w:eastAsia="da-DK"/>
              </w:rPr>
            </w:pPr>
            <w:r w:rsidRPr="006A22C1">
              <w:rPr>
                <w:rFonts w:eastAsia="Times New Roman" w:cs="Arial"/>
                <w:b/>
                <w:bCs/>
                <w:sz w:val="16"/>
                <w:szCs w:val="16"/>
                <w:lang w:eastAsia="da-DK"/>
              </w:rPr>
              <w:t>I alt</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b/>
                <w:color w:val="000000"/>
                <w:sz w:val="16"/>
                <w:szCs w:val="16"/>
                <w:lang w:eastAsia="da-DK"/>
              </w:rPr>
            </w:pPr>
            <w:r w:rsidRPr="006A22C1">
              <w:rPr>
                <w:rFonts w:eastAsia="Times New Roman" w:cs="Arial"/>
                <w:b/>
                <w:color w:val="000000"/>
                <w:sz w:val="16"/>
                <w:szCs w:val="16"/>
                <w:lang w:eastAsia="da-DK"/>
              </w:rPr>
              <w:t>-7.409</w:t>
            </w:r>
          </w:p>
        </w:tc>
        <w:tc>
          <w:tcPr>
            <w:tcW w:w="83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b/>
                <w:color w:val="000000"/>
                <w:sz w:val="16"/>
                <w:szCs w:val="16"/>
                <w:lang w:eastAsia="da-DK"/>
              </w:rPr>
            </w:pPr>
            <w:r w:rsidRPr="006A22C1">
              <w:rPr>
                <w:rFonts w:eastAsia="Times New Roman" w:cs="Arial"/>
                <w:b/>
                <w:color w:val="000000"/>
                <w:sz w:val="16"/>
                <w:szCs w:val="16"/>
                <w:lang w:eastAsia="da-DK"/>
              </w:rPr>
              <w:t>4.861</w:t>
            </w:r>
          </w:p>
        </w:tc>
        <w:tc>
          <w:tcPr>
            <w:tcW w:w="647"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b/>
                <w:color w:val="000000"/>
                <w:sz w:val="16"/>
                <w:szCs w:val="16"/>
                <w:lang w:eastAsia="da-DK"/>
              </w:rPr>
            </w:pPr>
            <w:r w:rsidRPr="006A22C1">
              <w:rPr>
                <w:rFonts w:eastAsia="Times New Roman" w:cs="Arial"/>
                <w:b/>
                <w:color w:val="000000"/>
                <w:sz w:val="16"/>
                <w:szCs w:val="16"/>
                <w:lang w:eastAsia="da-DK"/>
              </w:rPr>
              <w:t>189</w:t>
            </w:r>
          </w:p>
        </w:tc>
        <w:tc>
          <w:tcPr>
            <w:tcW w:w="626"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A22C1">
            <w:pPr>
              <w:spacing w:after="0"/>
              <w:jc w:val="right"/>
              <w:rPr>
                <w:rFonts w:eastAsia="Times New Roman" w:cs="Arial"/>
                <w:b/>
                <w:color w:val="000000"/>
                <w:sz w:val="16"/>
                <w:szCs w:val="16"/>
                <w:lang w:eastAsia="da-DK"/>
              </w:rPr>
            </w:pPr>
            <w:r w:rsidRPr="006A22C1">
              <w:rPr>
                <w:rFonts w:eastAsia="Times New Roman" w:cs="Arial"/>
                <w:b/>
                <w:color w:val="000000"/>
                <w:sz w:val="16"/>
                <w:szCs w:val="16"/>
                <w:lang w:eastAsia="da-DK"/>
              </w:rPr>
              <w:t>5.050</w:t>
            </w:r>
          </w:p>
        </w:tc>
        <w:tc>
          <w:tcPr>
            <w:tcW w:w="662" w:type="dxa"/>
            <w:tcBorders>
              <w:top w:val="nil"/>
              <w:left w:val="nil"/>
              <w:bottom w:val="single" w:sz="4" w:space="0" w:color="auto"/>
              <w:right w:val="single" w:sz="4" w:space="0" w:color="auto"/>
            </w:tcBorders>
            <w:shd w:val="clear" w:color="auto" w:fill="auto"/>
            <w:noWrap/>
            <w:vAlign w:val="bottom"/>
            <w:hideMark/>
          </w:tcPr>
          <w:p w:rsidR="006A22C1" w:rsidRPr="006A22C1" w:rsidRDefault="006C35FB" w:rsidP="006A22C1">
            <w:pPr>
              <w:spacing w:after="0"/>
              <w:jc w:val="right"/>
              <w:rPr>
                <w:rFonts w:eastAsia="Times New Roman" w:cs="Arial"/>
                <w:b/>
                <w:color w:val="000000"/>
                <w:sz w:val="16"/>
                <w:szCs w:val="16"/>
                <w:lang w:eastAsia="da-DK"/>
              </w:rPr>
            </w:pPr>
            <w:r>
              <w:rPr>
                <w:rFonts w:eastAsia="Times New Roman" w:cs="Arial"/>
                <w:b/>
                <w:color w:val="000000"/>
                <w:sz w:val="16"/>
                <w:szCs w:val="16"/>
                <w:lang w:eastAsia="da-DK"/>
              </w:rPr>
              <w:t>10.014</w:t>
            </w:r>
          </w:p>
        </w:tc>
        <w:tc>
          <w:tcPr>
            <w:tcW w:w="729" w:type="dxa"/>
            <w:tcBorders>
              <w:top w:val="nil"/>
              <w:left w:val="nil"/>
              <w:bottom w:val="single" w:sz="4" w:space="0" w:color="auto"/>
              <w:right w:val="single" w:sz="4" w:space="0" w:color="auto"/>
            </w:tcBorders>
            <w:shd w:val="clear" w:color="auto" w:fill="auto"/>
            <w:noWrap/>
            <w:vAlign w:val="bottom"/>
            <w:hideMark/>
          </w:tcPr>
          <w:p w:rsidR="006A22C1" w:rsidRPr="006A22C1" w:rsidRDefault="006A22C1" w:rsidP="006C35FB">
            <w:pPr>
              <w:spacing w:after="0"/>
              <w:jc w:val="right"/>
              <w:rPr>
                <w:rFonts w:eastAsia="Times New Roman" w:cs="Arial"/>
                <w:b/>
                <w:color w:val="000000"/>
                <w:sz w:val="16"/>
                <w:szCs w:val="16"/>
                <w:lang w:eastAsia="da-DK"/>
              </w:rPr>
            </w:pPr>
            <w:r w:rsidRPr="006A22C1">
              <w:rPr>
                <w:rFonts w:eastAsia="Times New Roman" w:cs="Arial"/>
                <w:b/>
                <w:color w:val="000000"/>
                <w:sz w:val="16"/>
                <w:szCs w:val="16"/>
                <w:lang w:eastAsia="da-DK"/>
              </w:rPr>
              <w:t>-</w:t>
            </w:r>
            <w:r w:rsidR="00522684">
              <w:rPr>
                <w:rFonts w:eastAsia="Times New Roman" w:cs="Arial"/>
                <w:b/>
                <w:color w:val="000000"/>
                <w:sz w:val="16"/>
                <w:szCs w:val="16"/>
                <w:lang w:eastAsia="da-DK"/>
              </w:rPr>
              <w:t>4.683</w:t>
            </w:r>
          </w:p>
        </w:tc>
      </w:tr>
    </w:tbl>
    <w:p w:rsidR="00AF0252" w:rsidRPr="003278D6" w:rsidRDefault="00AF0252" w:rsidP="001968DE">
      <w:pPr>
        <w:rPr>
          <w:sz w:val="16"/>
        </w:rPr>
      </w:pPr>
    </w:p>
    <w:p w:rsidR="001968DE" w:rsidRDefault="004C37D4" w:rsidP="00D14625">
      <w:pPr>
        <w:pStyle w:val="Overskrift2"/>
        <w:spacing w:before="0"/>
        <w:rPr>
          <w:rFonts w:cs="Arial"/>
        </w:rPr>
      </w:pPr>
      <w:bookmarkStart w:id="8" w:name="_Toc2932285"/>
      <w:r w:rsidRPr="0072295B">
        <w:rPr>
          <w:rFonts w:cs="Arial"/>
        </w:rPr>
        <w:t>Årets væsentligste afvigelser og udfordringer</w:t>
      </w:r>
      <w:bookmarkEnd w:id="8"/>
      <w:r w:rsidR="00A93116" w:rsidRPr="0072295B">
        <w:rPr>
          <w:rFonts w:cs="Arial"/>
        </w:rPr>
        <w:t xml:space="preserve"> </w:t>
      </w:r>
    </w:p>
    <w:p w:rsidR="0072295B" w:rsidRDefault="0072295B" w:rsidP="0072295B">
      <w:r>
        <w:t>Der var oprindelig budgettere</w:t>
      </w:r>
      <w:r w:rsidR="006A22C1">
        <w:t xml:space="preserve">t med renteudgifter på netto 4,8 mio. kr., og der er </w:t>
      </w:r>
      <w:r>
        <w:t>i år</w:t>
      </w:r>
      <w:r w:rsidR="006A22C1">
        <w:t>ets løb givet tillægsbevilling på 189.000 kr.</w:t>
      </w:r>
      <w:r>
        <w:t>, hvorfor det ko</w:t>
      </w:r>
      <w:r w:rsidR="006A22C1">
        <w:t>rrigerede budget også lød på 5,05</w:t>
      </w:r>
      <w:r>
        <w:t xml:space="preserve"> mio. kr. Regnska</w:t>
      </w:r>
      <w:r w:rsidR="006A22C1">
        <w:t>bet lyder på nettorenteudgifter</w:t>
      </w:r>
      <w:r>
        <w:t xml:space="preserve"> på </w:t>
      </w:r>
      <w:r w:rsidR="00522684">
        <w:t>9,7</w:t>
      </w:r>
      <w:r w:rsidR="006A22C1">
        <w:t xml:space="preserve"> mio. kr., altså en afvigelse (mere</w:t>
      </w:r>
      <w:r>
        <w:t xml:space="preserve">udgift) på </w:t>
      </w:r>
      <w:r w:rsidR="00654AD8">
        <w:t>4</w:t>
      </w:r>
      <w:r>
        <w:t xml:space="preserve"> mio. kr. </w:t>
      </w:r>
    </w:p>
    <w:p w:rsidR="00B505DD" w:rsidRDefault="006A22C1" w:rsidP="00111FAC">
      <w:pPr>
        <w:pStyle w:val="Listeafsnit"/>
        <w:numPr>
          <w:ilvl w:val="0"/>
          <w:numId w:val="12"/>
        </w:numPr>
      </w:pPr>
      <w:r>
        <w:t>I april 2019 indfriede Brøndby Kommune gæld for ca. 170 mio. kr. Med denne indfrielse var der en del renteomkostninger forbundet, d</w:t>
      </w:r>
      <w:r w:rsidR="00111FAC">
        <w:t>a lånene blev indfriet før tid. Kompensations</w:t>
      </w:r>
      <w:r w:rsidR="00111FAC" w:rsidRPr="00111FAC">
        <w:t>betaling</w:t>
      </w:r>
      <w:r w:rsidR="00111FAC">
        <w:t>en for tidlig indfrielse</w:t>
      </w:r>
      <w:r w:rsidR="00111FAC" w:rsidRPr="00111FAC">
        <w:t xml:space="preserve"> inkl. </w:t>
      </w:r>
      <w:r w:rsidR="00B664AC">
        <w:t>r</w:t>
      </w:r>
      <w:r w:rsidR="00111FAC" w:rsidRPr="00111FAC">
        <w:t>enter</w:t>
      </w:r>
      <w:r w:rsidR="00111FAC">
        <w:t xml:space="preserve"> udgjorde ca. 15 mio. kr. </w:t>
      </w:r>
      <w:r w:rsidR="00B664AC">
        <w:t xml:space="preserve">hos Kommunekredit. Renteomkostningerne for de 4 lån der blev indfriet hos Realkredit udgjorde ca. 81.000 kr. </w:t>
      </w:r>
      <w:r w:rsidR="008B6139">
        <w:t>Påvirkningen af dette ses på at renter af langfristet gæld. Det er en udgift på 20 mio. kr. i 2019.</w:t>
      </w:r>
    </w:p>
    <w:p w:rsidR="000265F8" w:rsidRPr="00E66F63" w:rsidRDefault="00B505DD" w:rsidP="00111FAC">
      <w:pPr>
        <w:pStyle w:val="Listeafsnit"/>
        <w:numPr>
          <w:ilvl w:val="0"/>
          <w:numId w:val="12"/>
        </w:numPr>
      </w:pPr>
      <w:r>
        <w:t>Posten ”Kurstab og kursgevinst m.v.” var budgetteret til 140.000 kr.,</w:t>
      </w:r>
      <w:r w:rsidR="00522684">
        <w:t xml:space="preserve"> men endte med en gevinst på 2,4</w:t>
      </w:r>
      <w:r>
        <w:t xml:space="preserve"> mio. kr. Dette skyldes, at der har været kursgevinster på obligationerne i 2019. Posten over realiserede kurstab/-gevinster er handel med værdipapirer, og er en post der altid vil være budgetteret til nul, da budgettet ikke skal indeholde spekulative poster. </w:t>
      </w:r>
      <w:r>
        <w:br/>
      </w:r>
      <w:r w:rsidR="00E66F63">
        <w:br/>
      </w:r>
      <w:r w:rsidR="00E66F63">
        <w:br/>
      </w:r>
    </w:p>
    <w:p w:rsidR="006A22C1" w:rsidRDefault="006A22C1">
      <w:pPr>
        <w:spacing w:line="276" w:lineRule="auto"/>
        <w:rPr>
          <w:rFonts w:eastAsiaTheme="majorEastAsia" w:cs="Arial"/>
          <w:b/>
          <w:bCs/>
          <w:sz w:val="28"/>
          <w:szCs w:val="28"/>
        </w:rPr>
      </w:pPr>
      <w:bookmarkStart w:id="9" w:name="_Toc2932286"/>
      <w:r>
        <w:rPr>
          <w:rFonts w:cs="Arial"/>
        </w:rPr>
        <w:br w:type="page"/>
      </w:r>
    </w:p>
    <w:p w:rsidR="006427CA" w:rsidRPr="00983DF0" w:rsidRDefault="006427CA" w:rsidP="006427CA">
      <w:pPr>
        <w:pStyle w:val="Overskrift1"/>
        <w:rPr>
          <w:rFonts w:cs="Arial"/>
        </w:rPr>
      </w:pPr>
      <w:r>
        <w:rPr>
          <w:rFonts w:cs="Arial"/>
        </w:rPr>
        <w:t>Balanceforskydninger</w:t>
      </w:r>
      <w:bookmarkEnd w:id="9"/>
    </w:p>
    <w:p w:rsidR="006427CA" w:rsidRDefault="006427CA" w:rsidP="006427CA">
      <w:pPr>
        <w:pStyle w:val="Overskrift2"/>
        <w:rPr>
          <w:rFonts w:cs="Arial"/>
        </w:rPr>
      </w:pPr>
      <w:bookmarkStart w:id="10" w:name="_Toc2932287"/>
      <w:r w:rsidRPr="00983DF0">
        <w:rPr>
          <w:rFonts w:cs="Arial"/>
        </w:rPr>
        <w:t>Økonomisk oversigt</w:t>
      </w:r>
      <w:bookmarkEnd w:id="10"/>
    </w:p>
    <w:p w:rsidR="006427CA" w:rsidRPr="00272BEB" w:rsidRDefault="006427CA" w:rsidP="006427CA">
      <w:r w:rsidRPr="00272BEB">
        <w:t xml:space="preserve">Tabellen nedenfor viser </w:t>
      </w:r>
      <w:r>
        <w:t>budget og regnskab for balanceforskydninger inddelt på politisk udvalg og funktion.</w:t>
      </w:r>
    </w:p>
    <w:p w:rsidR="006427CA" w:rsidRDefault="006427CA" w:rsidP="006427CA">
      <w:pPr>
        <w:spacing w:after="0"/>
      </w:pPr>
      <w:r>
        <w:t xml:space="preserve">Tabel </w:t>
      </w:r>
      <w:r w:rsidR="004614B2">
        <w:t>3</w:t>
      </w:r>
      <w:r>
        <w:t>. Balanceforskydninger – pr. politisk udvalg og funktion.</w:t>
      </w:r>
    </w:p>
    <w:tbl>
      <w:tblPr>
        <w:tblW w:w="0" w:type="auto"/>
        <w:tblInd w:w="-5" w:type="dxa"/>
        <w:tblLayout w:type="fixed"/>
        <w:tblCellMar>
          <w:left w:w="70" w:type="dxa"/>
          <w:right w:w="70" w:type="dxa"/>
        </w:tblCellMar>
        <w:tblLook w:val="04A0" w:firstRow="1" w:lastRow="0" w:firstColumn="1" w:lastColumn="0" w:noHBand="0" w:noVBand="1"/>
      </w:tblPr>
      <w:tblGrid>
        <w:gridCol w:w="5387"/>
        <w:gridCol w:w="850"/>
        <w:gridCol w:w="851"/>
        <w:gridCol w:w="709"/>
        <w:gridCol w:w="850"/>
        <w:gridCol w:w="992"/>
        <w:gridCol w:w="822"/>
      </w:tblGrid>
      <w:tr w:rsidR="00AC4255" w:rsidRPr="00AC4255" w:rsidTr="009D0393">
        <w:trPr>
          <w:trHeight w:val="900"/>
        </w:trPr>
        <w:tc>
          <w:tcPr>
            <w:tcW w:w="5387"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AC4255" w:rsidRPr="00AC4255" w:rsidRDefault="00AC4255" w:rsidP="00AC4255">
            <w:pPr>
              <w:spacing w:after="0"/>
              <w:rPr>
                <w:rFonts w:eastAsia="Times New Roman" w:cs="Arial"/>
                <w:b/>
                <w:bCs/>
                <w:sz w:val="16"/>
                <w:szCs w:val="16"/>
                <w:lang w:eastAsia="da-DK"/>
              </w:rPr>
            </w:pPr>
            <w:r w:rsidRPr="00AC4255">
              <w:rPr>
                <w:rFonts w:eastAsia="Times New Roman" w:cs="Arial"/>
                <w:b/>
                <w:bCs/>
                <w:sz w:val="16"/>
                <w:szCs w:val="16"/>
                <w:lang w:eastAsia="da-DK"/>
              </w:rPr>
              <w:t xml:space="preserve">Samtlige udvalg - Balanceforskydninger - I 1.000 kr.                                       </w:t>
            </w:r>
          </w:p>
        </w:tc>
        <w:tc>
          <w:tcPr>
            <w:tcW w:w="850" w:type="dxa"/>
            <w:tcBorders>
              <w:top w:val="single" w:sz="4" w:space="0" w:color="auto"/>
              <w:left w:val="nil"/>
              <w:bottom w:val="single" w:sz="4" w:space="0" w:color="auto"/>
              <w:right w:val="single" w:sz="4" w:space="0" w:color="auto"/>
            </w:tcBorders>
            <w:shd w:val="clear" w:color="000000" w:fill="C5D9F1"/>
            <w:vAlign w:val="center"/>
            <w:hideMark/>
          </w:tcPr>
          <w:p w:rsidR="00AC4255" w:rsidRPr="00AC4255" w:rsidRDefault="00AC4255" w:rsidP="00AC4255">
            <w:pPr>
              <w:spacing w:after="0"/>
              <w:jc w:val="center"/>
              <w:rPr>
                <w:rFonts w:eastAsia="Times New Roman" w:cs="Arial"/>
                <w:b/>
                <w:bCs/>
                <w:sz w:val="16"/>
                <w:szCs w:val="16"/>
                <w:lang w:eastAsia="da-DK"/>
              </w:rPr>
            </w:pPr>
            <w:r w:rsidRPr="00AC4255">
              <w:rPr>
                <w:rFonts w:eastAsia="Times New Roman" w:cs="Arial"/>
                <w:b/>
                <w:bCs/>
                <w:sz w:val="16"/>
                <w:szCs w:val="16"/>
                <w:lang w:eastAsia="da-DK"/>
              </w:rPr>
              <w:t>Regnskab 2018</w:t>
            </w:r>
          </w:p>
        </w:tc>
        <w:tc>
          <w:tcPr>
            <w:tcW w:w="851" w:type="dxa"/>
            <w:tcBorders>
              <w:top w:val="single" w:sz="4" w:space="0" w:color="auto"/>
              <w:left w:val="nil"/>
              <w:bottom w:val="single" w:sz="4" w:space="0" w:color="auto"/>
              <w:right w:val="single" w:sz="4" w:space="0" w:color="auto"/>
            </w:tcBorders>
            <w:shd w:val="clear" w:color="000000" w:fill="C5D9F1"/>
            <w:vAlign w:val="center"/>
            <w:hideMark/>
          </w:tcPr>
          <w:p w:rsidR="00AC4255" w:rsidRPr="00AC4255" w:rsidRDefault="00AC4255" w:rsidP="00AC4255">
            <w:pPr>
              <w:spacing w:after="0"/>
              <w:jc w:val="center"/>
              <w:rPr>
                <w:rFonts w:eastAsia="Times New Roman" w:cs="Arial"/>
                <w:b/>
                <w:bCs/>
                <w:sz w:val="16"/>
                <w:szCs w:val="16"/>
                <w:lang w:eastAsia="da-DK"/>
              </w:rPr>
            </w:pPr>
            <w:r w:rsidRPr="00AC4255">
              <w:rPr>
                <w:rFonts w:eastAsia="Times New Roman" w:cs="Arial"/>
                <w:b/>
                <w:bCs/>
                <w:sz w:val="16"/>
                <w:szCs w:val="16"/>
                <w:lang w:eastAsia="da-DK"/>
              </w:rPr>
              <w:t>Opr. v. Budget 2019</w:t>
            </w:r>
          </w:p>
        </w:tc>
        <w:tc>
          <w:tcPr>
            <w:tcW w:w="709" w:type="dxa"/>
            <w:tcBorders>
              <w:top w:val="single" w:sz="4" w:space="0" w:color="auto"/>
              <w:left w:val="nil"/>
              <w:bottom w:val="single" w:sz="4" w:space="0" w:color="auto"/>
              <w:right w:val="single" w:sz="4" w:space="0" w:color="auto"/>
            </w:tcBorders>
            <w:shd w:val="clear" w:color="000000" w:fill="C5D9F1"/>
            <w:vAlign w:val="center"/>
            <w:hideMark/>
          </w:tcPr>
          <w:p w:rsidR="00AC4255" w:rsidRPr="00AC4255" w:rsidRDefault="00AC4255" w:rsidP="00AC4255">
            <w:pPr>
              <w:spacing w:after="0"/>
              <w:jc w:val="center"/>
              <w:rPr>
                <w:rFonts w:eastAsia="Times New Roman" w:cs="Arial"/>
                <w:b/>
                <w:bCs/>
                <w:sz w:val="16"/>
                <w:szCs w:val="16"/>
                <w:lang w:eastAsia="da-DK"/>
              </w:rPr>
            </w:pPr>
            <w:r w:rsidRPr="00AC4255">
              <w:rPr>
                <w:rFonts w:eastAsia="Times New Roman" w:cs="Arial"/>
                <w:b/>
                <w:bCs/>
                <w:sz w:val="16"/>
                <w:szCs w:val="16"/>
                <w:lang w:eastAsia="da-DK"/>
              </w:rPr>
              <w:t>Tillægsbevilling /Omplacering</w:t>
            </w:r>
          </w:p>
        </w:tc>
        <w:tc>
          <w:tcPr>
            <w:tcW w:w="850" w:type="dxa"/>
            <w:tcBorders>
              <w:top w:val="single" w:sz="4" w:space="0" w:color="auto"/>
              <w:left w:val="nil"/>
              <w:bottom w:val="single" w:sz="4" w:space="0" w:color="auto"/>
              <w:right w:val="single" w:sz="4" w:space="0" w:color="auto"/>
            </w:tcBorders>
            <w:shd w:val="clear" w:color="000000" w:fill="C5D9F1"/>
            <w:vAlign w:val="center"/>
            <w:hideMark/>
          </w:tcPr>
          <w:p w:rsidR="00AC4255" w:rsidRPr="00AC4255" w:rsidRDefault="00AC4255" w:rsidP="00AC4255">
            <w:pPr>
              <w:spacing w:after="0"/>
              <w:jc w:val="center"/>
              <w:rPr>
                <w:rFonts w:eastAsia="Times New Roman" w:cs="Arial"/>
                <w:b/>
                <w:bCs/>
                <w:sz w:val="16"/>
                <w:szCs w:val="16"/>
                <w:lang w:eastAsia="da-DK"/>
              </w:rPr>
            </w:pPr>
            <w:r w:rsidRPr="00AC4255">
              <w:rPr>
                <w:rFonts w:eastAsia="Times New Roman" w:cs="Arial"/>
                <w:b/>
                <w:bCs/>
                <w:sz w:val="16"/>
                <w:szCs w:val="16"/>
                <w:lang w:eastAsia="da-DK"/>
              </w:rPr>
              <w:t>Korr. v. Budget</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rsidR="00AC4255" w:rsidRPr="00AC4255" w:rsidRDefault="00AC4255" w:rsidP="00AC4255">
            <w:pPr>
              <w:spacing w:after="0"/>
              <w:jc w:val="center"/>
              <w:rPr>
                <w:rFonts w:eastAsia="Times New Roman" w:cs="Arial"/>
                <w:b/>
                <w:bCs/>
                <w:sz w:val="16"/>
                <w:szCs w:val="16"/>
                <w:lang w:eastAsia="da-DK"/>
              </w:rPr>
            </w:pPr>
            <w:r w:rsidRPr="00AC4255">
              <w:rPr>
                <w:rFonts w:eastAsia="Times New Roman" w:cs="Arial"/>
                <w:b/>
                <w:bCs/>
                <w:sz w:val="16"/>
                <w:szCs w:val="16"/>
                <w:lang w:eastAsia="da-DK"/>
              </w:rPr>
              <w:t>Regnskab 2019</w:t>
            </w:r>
          </w:p>
        </w:tc>
        <w:tc>
          <w:tcPr>
            <w:tcW w:w="822" w:type="dxa"/>
            <w:tcBorders>
              <w:top w:val="single" w:sz="4" w:space="0" w:color="auto"/>
              <w:left w:val="nil"/>
              <w:bottom w:val="single" w:sz="4" w:space="0" w:color="auto"/>
              <w:right w:val="single" w:sz="4" w:space="0" w:color="auto"/>
            </w:tcBorders>
            <w:shd w:val="clear" w:color="000000" w:fill="C5D9F1"/>
            <w:vAlign w:val="center"/>
            <w:hideMark/>
          </w:tcPr>
          <w:p w:rsidR="00AC4255" w:rsidRPr="00AC4255" w:rsidRDefault="00AC4255" w:rsidP="00AC4255">
            <w:pPr>
              <w:spacing w:after="0"/>
              <w:jc w:val="center"/>
              <w:rPr>
                <w:rFonts w:eastAsia="Times New Roman" w:cs="Arial"/>
                <w:b/>
                <w:bCs/>
                <w:sz w:val="16"/>
                <w:szCs w:val="16"/>
                <w:lang w:eastAsia="da-DK"/>
              </w:rPr>
            </w:pPr>
            <w:r w:rsidRPr="00AC4255">
              <w:rPr>
                <w:rFonts w:eastAsia="Times New Roman" w:cs="Arial"/>
                <w:b/>
                <w:bCs/>
                <w:sz w:val="16"/>
                <w:szCs w:val="16"/>
                <w:lang w:eastAsia="da-DK"/>
              </w:rPr>
              <w:t>Over-/underskud</w:t>
            </w:r>
          </w:p>
        </w:tc>
      </w:tr>
      <w:tr w:rsidR="00A21F82" w:rsidRPr="00AC4255" w:rsidTr="00AD0048">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C4255" w:rsidRPr="00AC4255" w:rsidRDefault="00AC4255" w:rsidP="00AC4255">
            <w:pPr>
              <w:spacing w:after="0"/>
              <w:ind w:firstLineChars="100" w:firstLine="160"/>
              <w:rPr>
                <w:rFonts w:eastAsia="Times New Roman" w:cs="Arial"/>
                <w:b/>
                <w:bCs/>
                <w:color w:val="000000"/>
                <w:sz w:val="16"/>
                <w:szCs w:val="16"/>
                <w:lang w:eastAsia="da-DK"/>
              </w:rPr>
            </w:pPr>
            <w:r w:rsidRPr="00AC4255">
              <w:rPr>
                <w:rFonts w:eastAsia="Times New Roman" w:cs="Arial"/>
                <w:b/>
                <w:bCs/>
                <w:color w:val="000000"/>
                <w:sz w:val="16"/>
                <w:szCs w:val="16"/>
                <w:lang w:eastAsia="da-DK"/>
              </w:rPr>
              <w:t>1 Økonomiudvalget</w:t>
            </w:r>
          </w:p>
        </w:tc>
        <w:tc>
          <w:tcPr>
            <w:tcW w:w="850"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b/>
                <w:bCs/>
                <w:color w:val="000000"/>
                <w:sz w:val="16"/>
                <w:szCs w:val="16"/>
                <w:lang w:eastAsia="da-DK"/>
              </w:rPr>
            </w:pPr>
            <w:r w:rsidRPr="00AC4255">
              <w:rPr>
                <w:rFonts w:eastAsia="Times New Roman" w:cs="Arial"/>
                <w:b/>
                <w:bCs/>
                <w:color w:val="000000"/>
                <w:sz w:val="16"/>
                <w:szCs w:val="16"/>
                <w:lang w:eastAsia="da-DK"/>
              </w:rPr>
              <w:t>-4.792</w:t>
            </w:r>
          </w:p>
        </w:tc>
        <w:tc>
          <w:tcPr>
            <w:tcW w:w="851"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b/>
                <w:bCs/>
                <w:color w:val="000000"/>
                <w:sz w:val="16"/>
                <w:szCs w:val="16"/>
                <w:lang w:eastAsia="da-DK"/>
              </w:rPr>
            </w:pPr>
            <w:r w:rsidRPr="00AC4255">
              <w:rPr>
                <w:rFonts w:eastAsia="Times New Roman" w:cs="Arial"/>
                <w:b/>
                <w:bCs/>
                <w:color w:val="000000"/>
                <w:sz w:val="16"/>
                <w:szCs w:val="16"/>
                <w:lang w:eastAsia="da-DK"/>
              </w:rPr>
              <w:t>-105.489</w:t>
            </w:r>
          </w:p>
        </w:tc>
        <w:tc>
          <w:tcPr>
            <w:tcW w:w="709"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b/>
                <w:bCs/>
                <w:color w:val="000000"/>
                <w:sz w:val="16"/>
                <w:szCs w:val="16"/>
                <w:lang w:eastAsia="da-DK"/>
              </w:rPr>
            </w:pPr>
            <w:r w:rsidRPr="00AC4255">
              <w:rPr>
                <w:rFonts w:eastAsia="Times New Roman" w:cs="Arial"/>
                <w:b/>
                <w:bCs/>
                <w:color w:val="000000"/>
                <w:sz w:val="16"/>
                <w:szCs w:val="16"/>
                <w:lang w:eastAsia="da-DK"/>
              </w:rPr>
              <w:t>1.550</w:t>
            </w:r>
          </w:p>
        </w:tc>
        <w:tc>
          <w:tcPr>
            <w:tcW w:w="850"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b/>
                <w:bCs/>
                <w:color w:val="000000"/>
                <w:sz w:val="16"/>
                <w:szCs w:val="16"/>
                <w:lang w:eastAsia="da-DK"/>
              </w:rPr>
            </w:pPr>
            <w:r w:rsidRPr="00AC4255">
              <w:rPr>
                <w:rFonts w:eastAsia="Times New Roman" w:cs="Arial"/>
                <w:b/>
                <w:bCs/>
                <w:color w:val="000000"/>
                <w:sz w:val="16"/>
                <w:szCs w:val="16"/>
                <w:lang w:eastAsia="da-DK"/>
              </w:rPr>
              <w:t>-103.939</w:t>
            </w:r>
          </w:p>
        </w:tc>
        <w:tc>
          <w:tcPr>
            <w:tcW w:w="992" w:type="dxa"/>
            <w:tcBorders>
              <w:top w:val="nil"/>
              <w:left w:val="nil"/>
              <w:bottom w:val="single" w:sz="4" w:space="0" w:color="auto"/>
              <w:right w:val="single" w:sz="4" w:space="0" w:color="auto"/>
            </w:tcBorders>
            <w:shd w:val="clear" w:color="auto" w:fill="auto"/>
            <w:noWrap/>
            <w:vAlign w:val="bottom"/>
            <w:hideMark/>
          </w:tcPr>
          <w:p w:rsidR="00AC4255" w:rsidRPr="00AC4255" w:rsidRDefault="001D3A38" w:rsidP="00AD0048">
            <w:pPr>
              <w:spacing w:after="0"/>
              <w:jc w:val="right"/>
              <w:rPr>
                <w:rFonts w:eastAsia="Times New Roman" w:cs="Arial"/>
                <w:b/>
                <w:bCs/>
                <w:color w:val="000000"/>
                <w:sz w:val="16"/>
                <w:szCs w:val="16"/>
                <w:lang w:eastAsia="da-DK"/>
              </w:rPr>
            </w:pPr>
            <w:r>
              <w:rPr>
                <w:rFonts w:eastAsia="Times New Roman" w:cs="Arial"/>
                <w:b/>
                <w:bCs/>
                <w:color w:val="000000"/>
                <w:sz w:val="16"/>
                <w:szCs w:val="16"/>
                <w:lang w:eastAsia="da-DK"/>
              </w:rPr>
              <w:t>-111.451</w:t>
            </w:r>
          </w:p>
        </w:tc>
        <w:tc>
          <w:tcPr>
            <w:tcW w:w="822" w:type="dxa"/>
            <w:tcBorders>
              <w:top w:val="nil"/>
              <w:left w:val="nil"/>
              <w:bottom w:val="single" w:sz="4" w:space="0" w:color="auto"/>
              <w:right w:val="single" w:sz="4" w:space="0" w:color="auto"/>
            </w:tcBorders>
            <w:shd w:val="clear" w:color="auto" w:fill="auto"/>
            <w:noWrap/>
            <w:vAlign w:val="bottom"/>
            <w:hideMark/>
          </w:tcPr>
          <w:p w:rsidR="00AC4255" w:rsidRPr="0027760C" w:rsidRDefault="001D3A38" w:rsidP="00AD0048">
            <w:pPr>
              <w:spacing w:after="0"/>
              <w:jc w:val="right"/>
              <w:rPr>
                <w:rFonts w:eastAsia="Times New Roman" w:cs="Arial"/>
                <w:b/>
                <w:color w:val="000000"/>
                <w:sz w:val="16"/>
                <w:szCs w:val="16"/>
                <w:lang w:eastAsia="da-DK"/>
              </w:rPr>
            </w:pPr>
            <w:r>
              <w:rPr>
                <w:rFonts w:eastAsia="Times New Roman" w:cs="Arial"/>
                <w:b/>
                <w:color w:val="000000"/>
                <w:sz w:val="16"/>
                <w:szCs w:val="16"/>
                <w:lang w:eastAsia="da-DK"/>
              </w:rPr>
              <w:t>7.512</w:t>
            </w:r>
          </w:p>
        </w:tc>
      </w:tr>
      <w:tr w:rsidR="00A21F82" w:rsidRPr="00AC4255" w:rsidTr="00AD0048">
        <w:trPr>
          <w:trHeight w:val="283"/>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C4255" w:rsidRPr="00AC4255" w:rsidRDefault="00AC4255" w:rsidP="00AC4255">
            <w:pPr>
              <w:spacing w:after="0"/>
              <w:ind w:firstLineChars="200" w:firstLine="320"/>
              <w:rPr>
                <w:rFonts w:eastAsia="Times New Roman" w:cs="Arial"/>
                <w:color w:val="000000"/>
                <w:sz w:val="16"/>
                <w:szCs w:val="16"/>
                <w:lang w:eastAsia="da-DK"/>
              </w:rPr>
            </w:pPr>
            <w:r w:rsidRPr="00AC4255">
              <w:rPr>
                <w:rFonts w:eastAsia="Times New Roman" w:cs="Arial"/>
                <w:color w:val="000000"/>
                <w:sz w:val="16"/>
                <w:szCs w:val="16"/>
                <w:lang w:eastAsia="da-DK"/>
              </w:rPr>
              <w:t>08 Balanceforskydninger</w:t>
            </w:r>
          </w:p>
        </w:tc>
        <w:tc>
          <w:tcPr>
            <w:tcW w:w="850"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-4.792</w:t>
            </w:r>
          </w:p>
        </w:tc>
        <w:tc>
          <w:tcPr>
            <w:tcW w:w="851"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-105.489</w:t>
            </w:r>
          </w:p>
        </w:tc>
        <w:tc>
          <w:tcPr>
            <w:tcW w:w="709"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1.550</w:t>
            </w:r>
          </w:p>
        </w:tc>
        <w:tc>
          <w:tcPr>
            <w:tcW w:w="850"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-103.939</w:t>
            </w:r>
          </w:p>
        </w:tc>
        <w:tc>
          <w:tcPr>
            <w:tcW w:w="992" w:type="dxa"/>
            <w:tcBorders>
              <w:top w:val="nil"/>
              <w:left w:val="nil"/>
              <w:bottom w:val="single" w:sz="4" w:space="0" w:color="auto"/>
              <w:right w:val="single" w:sz="4" w:space="0" w:color="auto"/>
            </w:tcBorders>
            <w:shd w:val="clear" w:color="auto" w:fill="auto"/>
            <w:noWrap/>
            <w:vAlign w:val="bottom"/>
            <w:hideMark/>
          </w:tcPr>
          <w:p w:rsidR="00AC4255" w:rsidRPr="00AC4255" w:rsidRDefault="001D3A38" w:rsidP="00AD0048">
            <w:pPr>
              <w:spacing w:after="0"/>
              <w:jc w:val="right"/>
              <w:rPr>
                <w:rFonts w:eastAsia="Times New Roman" w:cs="Arial"/>
                <w:color w:val="000000"/>
                <w:sz w:val="16"/>
                <w:szCs w:val="16"/>
                <w:lang w:eastAsia="da-DK"/>
              </w:rPr>
            </w:pPr>
            <w:r>
              <w:rPr>
                <w:rFonts w:eastAsia="Times New Roman" w:cs="Arial"/>
                <w:color w:val="000000"/>
                <w:sz w:val="16"/>
                <w:szCs w:val="16"/>
                <w:lang w:eastAsia="da-DK"/>
              </w:rPr>
              <w:t>-111.451</w:t>
            </w:r>
          </w:p>
        </w:tc>
        <w:tc>
          <w:tcPr>
            <w:tcW w:w="822" w:type="dxa"/>
            <w:tcBorders>
              <w:top w:val="nil"/>
              <w:left w:val="nil"/>
              <w:bottom w:val="single" w:sz="4" w:space="0" w:color="auto"/>
              <w:right w:val="single" w:sz="4" w:space="0" w:color="auto"/>
            </w:tcBorders>
            <w:shd w:val="clear" w:color="auto" w:fill="auto"/>
            <w:noWrap/>
            <w:vAlign w:val="bottom"/>
            <w:hideMark/>
          </w:tcPr>
          <w:p w:rsidR="00AC4255" w:rsidRPr="0027760C" w:rsidRDefault="001D3A38" w:rsidP="00AD0048">
            <w:pPr>
              <w:spacing w:after="0"/>
              <w:jc w:val="right"/>
              <w:rPr>
                <w:rFonts w:eastAsia="Times New Roman" w:cs="Arial"/>
                <w:b/>
                <w:color w:val="000000"/>
                <w:sz w:val="16"/>
                <w:szCs w:val="16"/>
                <w:lang w:eastAsia="da-DK"/>
              </w:rPr>
            </w:pPr>
            <w:r>
              <w:rPr>
                <w:rFonts w:eastAsia="Times New Roman" w:cs="Arial"/>
                <w:b/>
                <w:color w:val="000000"/>
                <w:sz w:val="16"/>
                <w:szCs w:val="16"/>
                <w:lang w:eastAsia="da-DK"/>
              </w:rPr>
              <w:t>7.512</w:t>
            </w:r>
          </w:p>
        </w:tc>
      </w:tr>
      <w:tr w:rsidR="00A21F82" w:rsidRPr="00AC4255" w:rsidTr="00AD0048">
        <w:trPr>
          <w:trHeight w:val="283"/>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C4255" w:rsidRPr="00AC4255" w:rsidRDefault="00AC4255" w:rsidP="00AC4255">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22 Forskydninger i likvide aktiver</w:t>
            </w:r>
          </w:p>
        </w:tc>
        <w:tc>
          <w:tcPr>
            <w:tcW w:w="850"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-11.748</w:t>
            </w:r>
          </w:p>
        </w:tc>
        <w:tc>
          <w:tcPr>
            <w:tcW w:w="851"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-113.760</w:t>
            </w:r>
          </w:p>
        </w:tc>
        <w:tc>
          <w:tcPr>
            <w:tcW w:w="709"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-113.760</w:t>
            </w:r>
          </w:p>
        </w:tc>
        <w:tc>
          <w:tcPr>
            <w:tcW w:w="992" w:type="dxa"/>
            <w:tcBorders>
              <w:top w:val="nil"/>
              <w:left w:val="nil"/>
              <w:bottom w:val="single" w:sz="4" w:space="0" w:color="auto"/>
              <w:right w:val="single" w:sz="4" w:space="0" w:color="auto"/>
            </w:tcBorders>
            <w:shd w:val="clear" w:color="auto" w:fill="auto"/>
            <w:noWrap/>
            <w:vAlign w:val="bottom"/>
            <w:hideMark/>
          </w:tcPr>
          <w:p w:rsidR="00AC4255" w:rsidRPr="00AC4255" w:rsidRDefault="001D3A38" w:rsidP="00AD0048">
            <w:pPr>
              <w:spacing w:after="0"/>
              <w:jc w:val="right"/>
              <w:rPr>
                <w:rFonts w:eastAsia="Times New Roman" w:cs="Arial"/>
                <w:color w:val="000000"/>
                <w:sz w:val="16"/>
                <w:szCs w:val="16"/>
                <w:lang w:eastAsia="da-DK"/>
              </w:rPr>
            </w:pPr>
            <w:r>
              <w:rPr>
                <w:rFonts w:eastAsia="Times New Roman" w:cs="Arial"/>
                <w:color w:val="000000"/>
                <w:sz w:val="16"/>
                <w:szCs w:val="16"/>
                <w:lang w:eastAsia="da-DK"/>
              </w:rPr>
              <w:t>-18.028</w:t>
            </w:r>
          </w:p>
        </w:tc>
        <w:tc>
          <w:tcPr>
            <w:tcW w:w="822" w:type="dxa"/>
            <w:tcBorders>
              <w:top w:val="nil"/>
              <w:left w:val="nil"/>
              <w:bottom w:val="single" w:sz="4" w:space="0" w:color="auto"/>
              <w:right w:val="single" w:sz="4" w:space="0" w:color="auto"/>
            </w:tcBorders>
            <w:shd w:val="clear" w:color="auto" w:fill="auto"/>
            <w:noWrap/>
            <w:vAlign w:val="bottom"/>
            <w:hideMark/>
          </w:tcPr>
          <w:p w:rsidR="00AC4255" w:rsidRPr="00AC4255" w:rsidRDefault="001D3A38" w:rsidP="00AD0048">
            <w:pPr>
              <w:spacing w:after="0"/>
              <w:jc w:val="right"/>
              <w:rPr>
                <w:rFonts w:eastAsia="Times New Roman" w:cs="Arial"/>
                <w:color w:val="000000"/>
                <w:sz w:val="16"/>
                <w:szCs w:val="16"/>
                <w:lang w:eastAsia="da-DK"/>
              </w:rPr>
            </w:pPr>
            <w:r>
              <w:rPr>
                <w:rFonts w:eastAsia="Times New Roman" w:cs="Arial"/>
                <w:color w:val="000000"/>
                <w:sz w:val="16"/>
                <w:szCs w:val="16"/>
                <w:lang w:eastAsia="da-DK"/>
              </w:rPr>
              <w:t>-95.732</w:t>
            </w:r>
          </w:p>
        </w:tc>
      </w:tr>
      <w:tr w:rsidR="00A21F82" w:rsidRPr="00AC4255" w:rsidTr="00AD0048">
        <w:trPr>
          <w:trHeight w:val="283"/>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C4255" w:rsidRPr="00AC4255" w:rsidRDefault="00AC4255" w:rsidP="00AC4255">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25 Forskydninger i tilgodehavender hos staten</w:t>
            </w:r>
          </w:p>
        </w:tc>
        <w:tc>
          <w:tcPr>
            <w:tcW w:w="850"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777</w:t>
            </w:r>
          </w:p>
        </w:tc>
        <w:tc>
          <w:tcPr>
            <w:tcW w:w="851"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w:t>
            </w:r>
          </w:p>
        </w:tc>
        <w:tc>
          <w:tcPr>
            <w:tcW w:w="709"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-24.271</w:t>
            </w:r>
          </w:p>
        </w:tc>
        <w:tc>
          <w:tcPr>
            <w:tcW w:w="822"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24.271</w:t>
            </w:r>
          </w:p>
        </w:tc>
      </w:tr>
      <w:tr w:rsidR="00A21F82" w:rsidRPr="00AC4255" w:rsidTr="00AD0048">
        <w:trPr>
          <w:trHeight w:val="283"/>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C4255" w:rsidRPr="00AC4255" w:rsidRDefault="00AC4255" w:rsidP="00AC4255">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28 Forskydninger i kortfristede tilgodehavender i øvrigt</w:t>
            </w:r>
          </w:p>
        </w:tc>
        <w:tc>
          <w:tcPr>
            <w:tcW w:w="850"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-212.455</w:t>
            </w:r>
          </w:p>
        </w:tc>
        <w:tc>
          <w:tcPr>
            <w:tcW w:w="851"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-136.977</w:t>
            </w:r>
          </w:p>
        </w:tc>
        <w:tc>
          <w:tcPr>
            <w:tcW w:w="822"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136.977</w:t>
            </w:r>
          </w:p>
        </w:tc>
      </w:tr>
      <w:tr w:rsidR="00A21F82" w:rsidRPr="00AC4255" w:rsidTr="00AD0048">
        <w:trPr>
          <w:trHeight w:val="283"/>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C4255" w:rsidRPr="00AC4255" w:rsidRDefault="00AC4255" w:rsidP="00AC4255">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32 Forskydninger i langfristede tilgodehavender</w:t>
            </w:r>
          </w:p>
        </w:tc>
        <w:tc>
          <w:tcPr>
            <w:tcW w:w="850"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7.849</w:t>
            </w:r>
          </w:p>
        </w:tc>
        <w:tc>
          <w:tcPr>
            <w:tcW w:w="851"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8.708</w:t>
            </w:r>
          </w:p>
        </w:tc>
        <w:tc>
          <w:tcPr>
            <w:tcW w:w="709"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1.550</w:t>
            </w:r>
          </w:p>
        </w:tc>
        <w:tc>
          <w:tcPr>
            <w:tcW w:w="850"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10.258</w:t>
            </w:r>
          </w:p>
        </w:tc>
        <w:tc>
          <w:tcPr>
            <w:tcW w:w="992"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28.434</w:t>
            </w:r>
          </w:p>
        </w:tc>
        <w:tc>
          <w:tcPr>
            <w:tcW w:w="822"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-18.176</w:t>
            </w:r>
          </w:p>
        </w:tc>
      </w:tr>
      <w:tr w:rsidR="00A21F82" w:rsidRPr="00AC4255" w:rsidTr="00AD0048">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C4255" w:rsidRPr="00AC4255" w:rsidRDefault="00AC4255" w:rsidP="00AC4255">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38 Forskydninger i aktiver vedrørende beløb til opkrævning eller udbetaling for andre</w:t>
            </w:r>
          </w:p>
        </w:tc>
        <w:tc>
          <w:tcPr>
            <w:tcW w:w="850"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1"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AC4255" w:rsidRPr="00AC4255" w:rsidRDefault="00DF44A2" w:rsidP="00AD0048">
            <w:pPr>
              <w:spacing w:after="0"/>
              <w:jc w:val="right"/>
              <w:rPr>
                <w:rFonts w:eastAsia="Times New Roman" w:cs="Arial"/>
                <w:color w:val="000000"/>
                <w:sz w:val="16"/>
                <w:szCs w:val="16"/>
                <w:lang w:eastAsia="da-DK"/>
              </w:rPr>
            </w:pPr>
            <w:r>
              <w:rPr>
                <w:rFonts w:eastAsia="Times New Roman" w:cs="Arial"/>
                <w:color w:val="000000"/>
                <w:sz w:val="16"/>
                <w:szCs w:val="16"/>
                <w:lang w:eastAsia="da-DK"/>
              </w:rPr>
              <w:t>-63</w:t>
            </w:r>
          </w:p>
        </w:tc>
        <w:tc>
          <w:tcPr>
            <w:tcW w:w="822" w:type="dxa"/>
            <w:tcBorders>
              <w:top w:val="nil"/>
              <w:left w:val="nil"/>
              <w:bottom w:val="single" w:sz="4" w:space="0" w:color="auto"/>
              <w:right w:val="single" w:sz="4" w:space="0" w:color="auto"/>
            </w:tcBorders>
            <w:shd w:val="clear" w:color="auto" w:fill="auto"/>
            <w:noWrap/>
            <w:vAlign w:val="bottom"/>
            <w:hideMark/>
          </w:tcPr>
          <w:p w:rsidR="00AC4255" w:rsidRPr="00AC4255" w:rsidRDefault="00DF44A2" w:rsidP="00AD0048">
            <w:pPr>
              <w:spacing w:after="0"/>
              <w:jc w:val="right"/>
              <w:rPr>
                <w:rFonts w:eastAsia="Times New Roman" w:cs="Arial"/>
                <w:color w:val="000000"/>
                <w:sz w:val="16"/>
                <w:szCs w:val="16"/>
                <w:lang w:eastAsia="da-DK"/>
              </w:rPr>
            </w:pPr>
            <w:r>
              <w:rPr>
                <w:rFonts w:eastAsia="Times New Roman" w:cs="Arial"/>
                <w:color w:val="000000"/>
                <w:sz w:val="16"/>
                <w:szCs w:val="16"/>
                <w:lang w:eastAsia="da-DK"/>
              </w:rPr>
              <w:t>63</w:t>
            </w:r>
          </w:p>
        </w:tc>
      </w:tr>
      <w:tr w:rsidR="00A21F82" w:rsidRPr="00AC4255" w:rsidTr="00AD0048">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C4255" w:rsidRPr="00AC4255" w:rsidRDefault="00AC4255" w:rsidP="00AC4255">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42 Forskydninger i aktiver tilhørende fonds, legater m.v.</w:t>
            </w:r>
          </w:p>
        </w:tc>
        <w:tc>
          <w:tcPr>
            <w:tcW w:w="850"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-8.129</w:t>
            </w:r>
          </w:p>
        </w:tc>
        <w:tc>
          <w:tcPr>
            <w:tcW w:w="851"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AC4255" w:rsidRPr="00AC4255" w:rsidRDefault="00712CA4" w:rsidP="00AD0048">
            <w:pPr>
              <w:spacing w:after="0"/>
              <w:jc w:val="right"/>
              <w:rPr>
                <w:rFonts w:eastAsia="Times New Roman" w:cs="Arial"/>
                <w:color w:val="000000"/>
                <w:sz w:val="16"/>
                <w:szCs w:val="16"/>
                <w:lang w:eastAsia="da-DK"/>
              </w:rPr>
            </w:pPr>
            <w:r>
              <w:rPr>
                <w:rFonts w:eastAsia="Times New Roman" w:cs="Arial"/>
                <w:color w:val="000000"/>
                <w:sz w:val="16"/>
                <w:szCs w:val="16"/>
                <w:lang w:eastAsia="da-DK"/>
              </w:rPr>
              <w:t>-168</w:t>
            </w:r>
          </w:p>
        </w:tc>
        <w:tc>
          <w:tcPr>
            <w:tcW w:w="822" w:type="dxa"/>
            <w:tcBorders>
              <w:top w:val="nil"/>
              <w:left w:val="nil"/>
              <w:bottom w:val="single" w:sz="4" w:space="0" w:color="auto"/>
              <w:right w:val="single" w:sz="4" w:space="0" w:color="auto"/>
            </w:tcBorders>
            <w:shd w:val="clear" w:color="auto" w:fill="auto"/>
            <w:noWrap/>
            <w:vAlign w:val="bottom"/>
            <w:hideMark/>
          </w:tcPr>
          <w:p w:rsidR="00AC4255" w:rsidRPr="00AC4255" w:rsidRDefault="00712CA4" w:rsidP="00AD0048">
            <w:pPr>
              <w:spacing w:after="0"/>
              <w:jc w:val="right"/>
              <w:rPr>
                <w:rFonts w:eastAsia="Times New Roman" w:cs="Arial"/>
                <w:color w:val="000000"/>
                <w:sz w:val="16"/>
                <w:szCs w:val="16"/>
                <w:lang w:eastAsia="da-DK"/>
              </w:rPr>
            </w:pPr>
            <w:r>
              <w:rPr>
                <w:rFonts w:eastAsia="Times New Roman" w:cs="Arial"/>
                <w:color w:val="000000"/>
                <w:sz w:val="16"/>
                <w:szCs w:val="16"/>
                <w:lang w:eastAsia="da-DK"/>
              </w:rPr>
              <w:t>168</w:t>
            </w:r>
          </w:p>
        </w:tc>
      </w:tr>
      <w:tr w:rsidR="00A21F82" w:rsidRPr="00AC4255" w:rsidTr="00AD0048">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C4255" w:rsidRPr="00AC4255" w:rsidRDefault="00AC4255" w:rsidP="00AC4255">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45 Forskydninger i passiver tilhørende fonds, legater m.v.</w:t>
            </w:r>
          </w:p>
        </w:tc>
        <w:tc>
          <w:tcPr>
            <w:tcW w:w="850"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8.071</w:t>
            </w:r>
          </w:p>
        </w:tc>
        <w:tc>
          <w:tcPr>
            <w:tcW w:w="851"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AC4255" w:rsidRPr="00AC4255" w:rsidRDefault="004034AB" w:rsidP="00AD0048">
            <w:pPr>
              <w:spacing w:after="0"/>
              <w:jc w:val="right"/>
              <w:rPr>
                <w:rFonts w:eastAsia="Times New Roman" w:cs="Arial"/>
                <w:color w:val="000000"/>
                <w:sz w:val="16"/>
                <w:szCs w:val="16"/>
                <w:lang w:eastAsia="da-DK"/>
              </w:rPr>
            </w:pPr>
            <w:r>
              <w:rPr>
                <w:rFonts w:eastAsia="Times New Roman" w:cs="Arial"/>
                <w:color w:val="000000"/>
                <w:sz w:val="16"/>
                <w:szCs w:val="16"/>
                <w:lang w:eastAsia="da-DK"/>
              </w:rPr>
              <w:t>193</w:t>
            </w:r>
          </w:p>
        </w:tc>
        <w:tc>
          <w:tcPr>
            <w:tcW w:w="822" w:type="dxa"/>
            <w:tcBorders>
              <w:top w:val="nil"/>
              <w:left w:val="nil"/>
              <w:bottom w:val="single" w:sz="4" w:space="0" w:color="auto"/>
              <w:right w:val="single" w:sz="4" w:space="0" w:color="auto"/>
            </w:tcBorders>
            <w:shd w:val="clear" w:color="auto" w:fill="auto"/>
            <w:noWrap/>
            <w:vAlign w:val="bottom"/>
            <w:hideMark/>
          </w:tcPr>
          <w:p w:rsidR="00AC4255" w:rsidRPr="00AC4255" w:rsidRDefault="004034AB" w:rsidP="00AD0048">
            <w:pPr>
              <w:spacing w:after="0"/>
              <w:jc w:val="right"/>
              <w:rPr>
                <w:rFonts w:eastAsia="Times New Roman" w:cs="Arial"/>
                <w:color w:val="000000"/>
                <w:sz w:val="16"/>
                <w:szCs w:val="16"/>
                <w:lang w:eastAsia="da-DK"/>
              </w:rPr>
            </w:pPr>
            <w:r>
              <w:rPr>
                <w:rFonts w:eastAsia="Times New Roman" w:cs="Arial"/>
                <w:color w:val="000000"/>
                <w:sz w:val="16"/>
                <w:szCs w:val="16"/>
                <w:lang w:eastAsia="da-DK"/>
              </w:rPr>
              <w:t>-193</w:t>
            </w:r>
          </w:p>
        </w:tc>
      </w:tr>
      <w:tr w:rsidR="005118F3" w:rsidRPr="00AC4255" w:rsidTr="00AD0048">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tcPr>
          <w:p w:rsidR="005118F3" w:rsidRPr="00AC4255" w:rsidRDefault="005118F3" w:rsidP="00AC4255">
            <w:pPr>
              <w:spacing w:after="0"/>
              <w:ind w:firstLineChars="300" w:firstLine="480"/>
              <w:rPr>
                <w:rFonts w:eastAsia="Times New Roman" w:cs="Arial"/>
                <w:color w:val="000000"/>
                <w:sz w:val="16"/>
                <w:szCs w:val="16"/>
                <w:lang w:eastAsia="da-DK"/>
              </w:rPr>
            </w:pPr>
            <w:r>
              <w:rPr>
                <w:rFonts w:eastAsia="Times New Roman" w:cs="Arial"/>
                <w:color w:val="000000"/>
                <w:sz w:val="16"/>
                <w:szCs w:val="16"/>
                <w:lang w:eastAsia="da-DK"/>
              </w:rPr>
              <w:t xml:space="preserve">48 Forskydninger i </w:t>
            </w:r>
            <w:r w:rsidRPr="005118F3">
              <w:rPr>
                <w:rFonts w:eastAsia="Times New Roman" w:cs="Arial"/>
                <w:color w:val="000000"/>
                <w:sz w:val="16"/>
                <w:szCs w:val="16"/>
                <w:lang w:eastAsia="da-DK"/>
              </w:rPr>
              <w:t>passiver vedrørende beløb til opkrævning eller udbetaling for andre</w:t>
            </w:r>
          </w:p>
        </w:tc>
        <w:tc>
          <w:tcPr>
            <w:tcW w:w="850" w:type="dxa"/>
            <w:tcBorders>
              <w:top w:val="nil"/>
              <w:left w:val="nil"/>
              <w:bottom w:val="single" w:sz="4" w:space="0" w:color="auto"/>
              <w:right w:val="single" w:sz="4" w:space="0" w:color="auto"/>
            </w:tcBorders>
            <w:shd w:val="clear" w:color="auto" w:fill="auto"/>
            <w:noWrap/>
            <w:vAlign w:val="bottom"/>
          </w:tcPr>
          <w:p w:rsidR="005118F3" w:rsidRPr="00AC4255" w:rsidRDefault="005118F3" w:rsidP="00AD0048">
            <w:pPr>
              <w:spacing w:after="0"/>
              <w:jc w:val="right"/>
              <w:rPr>
                <w:rFonts w:eastAsia="Times New Roman" w:cs="Arial"/>
                <w:color w:val="000000"/>
                <w:sz w:val="16"/>
                <w:szCs w:val="16"/>
                <w:lang w:eastAsia="da-DK"/>
              </w:rPr>
            </w:pPr>
          </w:p>
        </w:tc>
        <w:tc>
          <w:tcPr>
            <w:tcW w:w="851" w:type="dxa"/>
            <w:tcBorders>
              <w:top w:val="nil"/>
              <w:left w:val="nil"/>
              <w:bottom w:val="single" w:sz="4" w:space="0" w:color="auto"/>
              <w:right w:val="single" w:sz="4" w:space="0" w:color="auto"/>
            </w:tcBorders>
            <w:shd w:val="clear" w:color="auto" w:fill="auto"/>
            <w:noWrap/>
            <w:vAlign w:val="bottom"/>
          </w:tcPr>
          <w:p w:rsidR="005118F3" w:rsidRPr="00AC4255" w:rsidRDefault="005118F3" w:rsidP="00AD0048">
            <w:pPr>
              <w:spacing w:after="0"/>
              <w:jc w:val="right"/>
              <w:rPr>
                <w:rFonts w:eastAsia="Times New Roman" w:cs="Arial"/>
                <w:color w:val="000000"/>
                <w:sz w:val="16"/>
                <w:szCs w:val="16"/>
                <w:lang w:eastAsia="da-DK"/>
              </w:rPr>
            </w:pPr>
          </w:p>
        </w:tc>
        <w:tc>
          <w:tcPr>
            <w:tcW w:w="709" w:type="dxa"/>
            <w:tcBorders>
              <w:top w:val="nil"/>
              <w:left w:val="nil"/>
              <w:bottom w:val="single" w:sz="4" w:space="0" w:color="auto"/>
              <w:right w:val="single" w:sz="4" w:space="0" w:color="auto"/>
            </w:tcBorders>
            <w:shd w:val="clear" w:color="auto" w:fill="auto"/>
            <w:noWrap/>
            <w:vAlign w:val="bottom"/>
          </w:tcPr>
          <w:p w:rsidR="005118F3" w:rsidRPr="00AC4255" w:rsidRDefault="005118F3" w:rsidP="00AD0048">
            <w:pPr>
              <w:spacing w:after="0"/>
              <w:jc w:val="right"/>
              <w:rPr>
                <w:rFonts w:eastAsia="Times New Roman" w:cs="Arial"/>
                <w:color w:val="000000"/>
                <w:sz w:val="16"/>
                <w:szCs w:val="16"/>
                <w:lang w:eastAsia="da-DK"/>
              </w:rPr>
            </w:pPr>
          </w:p>
        </w:tc>
        <w:tc>
          <w:tcPr>
            <w:tcW w:w="850" w:type="dxa"/>
            <w:tcBorders>
              <w:top w:val="nil"/>
              <w:left w:val="nil"/>
              <w:bottom w:val="single" w:sz="4" w:space="0" w:color="auto"/>
              <w:right w:val="single" w:sz="4" w:space="0" w:color="auto"/>
            </w:tcBorders>
            <w:shd w:val="clear" w:color="auto" w:fill="auto"/>
            <w:noWrap/>
            <w:vAlign w:val="bottom"/>
          </w:tcPr>
          <w:p w:rsidR="005118F3" w:rsidRPr="00AC4255" w:rsidRDefault="005118F3" w:rsidP="00AD0048">
            <w:pPr>
              <w:spacing w:after="0"/>
              <w:jc w:val="right"/>
              <w:rPr>
                <w:rFonts w:eastAsia="Times New Roman" w:cs="Arial"/>
                <w:color w:val="000000"/>
                <w:sz w:val="16"/>
                <w:szCs w:val="16"/>
                <w:lang w:eastAsia="da-DK"/>
              </w:rPr>
            </w:pPr>
          </w:p>
        </w:tc>
        <w:tc>
          <w:tcPr>
            <w:tcW w:w="992" w:type="dxa"/>
            <w:tcBorders>
              <w:top w:val="nil"/>
              <w:left w:val="nil"/>
              <w:bottom w:val="single" w:sz="4" w:space="0" w:color="auto"/>
              <w:right w:val="single" w:sz="4" w:space="0" w:color="auto"/>
            </w:tcBorders>
            <w:shd w:val="clear" w:color="auto" w:fill="auto"/>
            <w:noWrap/>
            <w:vAlign w:val="bottom"/>
          </w:tcPr>
          <w:p w:rsidR="005118F3" w:rsidRPr="00AC4255" w:rsidRDefault="005118F3" w:rsidP="00AD0048">
            <w:pPr>
              <w:spacing w:after="0"/>
              <w:jc w:val="right"/>
              <w:rPr>
                <w:rFonts w:eastAsia="Times New Roman" w:cs="Arial"/>
                <w:color w:val="000000"/>
                <w:sz w:val="16"/>
                <w:szCs w:val="16"/>
                <w:lang w:eastAsia="da-DK"/>
              </w:rPr>
            </w:pPr>
            <w:r>
              <w:rPr>
                <w:rFonts w:eastAsia="Times New Roman" w:cs="Arial"/>
                <w:color w:val="000000"/>
                <w:sz w:val="16"/>
                <w:szCs w:val="16"/>
                <w:lang w:eastAsia="da-DK"/>
              </w:rPr>
              <w:t>63</w:t>
            </w:r>
          </w:p>
        </w:tc>
        <w:tc>
          <w:tcPr>
            <w:tcW w:w="822" w:type="dxa"/>
            <w:tcBorders>
              <w:top w:val="nil"/>
              <w:left w:val="nil"/>
              <w:bottom w:val="single" w:sz="4" w:space="0" w:color="auto"/>
              <w:right w:val="single" w:sz="4" w:space="0" w:color="auto"/>
            </w:tcBorders>
            <w:shd w:val="clear" w:color="auto" w:fill="auto"/>
            <w:noWrap/>
            <w:vAlign w:val="bottom"/>
          </w:tcPr>
          <w:p w:rsidR="005118F3" w:rsidRPr="00AC4255" w:rsidRDefault="00DF44A2" w:rsidP="00AD0048">
            <w:pPr>
              <w:spacing w:after="0"/>
              <w:jc w:val="right"/>
              <w:rPr>
                <w:rFonts w:eastAsia="Times New Roman" w:cs="Arial"/>
                <w:color w:val="000000"/>
                <w:sz w:val="16"/>
                <w:szCs w:val="16"/>
                <w:lang w:eastAsia="da-DK"/>
              </w:rPr>
            </w:pPr>
            <w:r>
              <w:rPr>
                <w:rFonts w:eastAsia="Times New Roman" w:cs="Arial"/>
                <w:color w:val="000000"/>
                <w:sz w:val="16"/>
                <w:szCs w:val="16"/>
                <w:lang w:eastAsia="da-DK"/>
              </w:rPr>
              <w:t>-63</w:t>
            </w:r>
          </w:p>
        </w:tc>
      </w:tr>
      <w:tr w:rsidR="00A21F82" w:rsidRPr="00AC4255" w:rsidTr="00AD0048">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C4255" w:rsidRPr="00AC4255" w:rsidRDefault="00DF44A2" w:rsidP="00AC4255">
            <w:pPr>
              <w:spacing w:after="0"/>
              <w:ind w:firstLineChars="300" w:firstLine="480"/>
              <w:rPr>
                <w:rFonts w:eastAsia="Times New Roman" w:cs="Arial"/>
                <w:color w:val="000000"/>
                <w:sz w:val="16"/>
                <w:szCs w:val="16"/>
                <w:lang w:eastAsia="da-DK"/>
              </w:rPr>
            </w:pPr>
            <w:r>
              <w:rPr>
                <w:rFonts w:eastAsia="Times New Roman" w:cs="Arial"/>
                <w:color w:val="000000"/>
                <w:sz w:val="16"/>
                <w:szCs w:val="16"/>
                <w:lang w:eastAsia="da-DK"/>
              </w:rPr>
              <w:t xml:space="preserve">50 </w:t>
            </w:r>
            <w:r w:rsidRPr="00DF44A2">
              <w:rPr>
                <w:rFonts w:eastAsia="Times New Roman" w:cs="Arial"/>
                <w:color w:val="000000"/>
                <w:sz w:val="16"/>
                <w:szCs w:val="16"/>
                <w:lang w:eastAsia="da-DK"/>
              </w:rPr>
              <w:t>Forskydninger i kortfristet gæld til pengeinstitutter</w:t>
            </w:r>
          </w:p>
        </w:tc>
        <w:tc>
          <w:tcPr>
            <w:tcW w:w="850"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p>
        </w:tc>
        <w:tc>
          <w:tcPr>
            <w:tcW w:w="851"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p>
        </w:tc>
        <w:tc>
          <w:tcPr>
            <w:tcW w:w="709"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AC4255" w:rsidRPr="00AC4255" w:rsidRDefault="00AC4255" w:rsidP="00AD0048">
            <w:pPr>
              <w:spacing w:after="0"/>
              <w:jc w:val="right"/>
              <w:rPr>
                <w:rFonts w:eastAsia="Times New Roman" w:cs="Arial"/>
                <w:color w:val="000000"/>
                <w:sz w:val="16"/>
                <w:szCs w:val="16"/>
                <w:lang w:eastAsia="da-DK"/>
              </w:rPr>
            </w:pPr>
          </w:p>
        </w:tc>
        <w:tc>
          <w:tcPr>
            <w:tcW w:w="992" w:type="dxa"/>
            <w:tcBorders>
              <w:top w:val="nil"/>
              <w:left w:val="nil"/>
              <w:bottom w:val="single" w:sz="4" w:space="0" w:color="auto"/>
              <w:right w:val="single" w:sz="4" w:space="0" w:color="auto"/>
            </w:tcBorders>
            <w:shd w:val="clear" w:color="auto" w:fill="auto"/>
            <w:noWrap/>
            <w:vAlign w:val="bottom"/>
            <w:hideMark/>
          </w:tcPr>
          <w:p w:rsidR="00AC4255" w:rsidRPr="00AC4255" w:rsidRDefault="00DF44A2" w:rsidP="00AD0048">
            <w:pPr>
              <w:spacing w:after="0"/>
              <w:jc w:val="right"/>
              <w:rPr>
                <w:rFonts w:eastAsia="Times New Roman" w:cs="Arial"/>
                <w:color w:val="000000"/>
                <w:sz w:val="16"/>
                <w:szCs w:val="16"/>
                <w:lang w:eastAsia="da-DK"/>
              </w:rPr>
            </w:pPr>
            <w:r>
              <w:rPr>
                <w:rFonts w:eastAsia="Times New Roman" w:cs="Arial"/>
                <w:color w:val="000000"/>
                <w:sz w:val="16"/>
                <w:szCs w:val="16"/>
                <w:lang w:eastAsia="da-DK"/>
              </w:rPr>
              <w:t>-100.000</w:t>
            </w:r>
          </w:p>
        </w:tc>
        <w:tc>
          <w:tcPr>
            <w:tcW w:w="822" w:type="dxa"/>
            <w:tcBorders>
              <w:top w:val="nil"/>
              <w:left w:val="nil"/>
              <w:bottom w:val="single" w:sz="4" w:space="0" w:color="auto"/>
              <w:right w:val="single" w:sz="4" w:space="0" w:color="auto"/>
            </w:tcBorders>
            <w:shd w:val="clear" w:color="auto" w:fill="auto"/>
            <w:noWrap/>
            <w:vAlign w:val="bottom"/>
            <w:hideMark/>
          </w:tcPr>
          <w:p w:rsidR="00AC4255" w:rsidRPr="00AC4255" w:rsidRDefault="00DF44A2" w:rsidP="00AD0048">
            <w:pPr>
              <w:spacing w:after="0"/>
              <w:jc w:val="right"/>
              <w:rPr>
                <w:rFonts w:eastAsia="Times New Roman" w:cs="Arial"/>
                <w:color w:val="000000"/>
                <w:sz w:val="16"/>
                <w:szCs w:val="16"/>
                <w:lang w:eastAsia="da-DK"/>
              </w:rPr>
            </w:pPr>
            <w:r>
              <w:rPr>
                <w:rFonts w:eastAsia="Times New Roman" w:cs="Arial"/>
                <w:color w:val="000000"/>
                <w:sz w:val="16"/>
                <w:szCs w:val="16"/>
                <w:lang w:eastAsia="da-DK"/>
              </w:rPr>
              <w:t>100.000</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tcPr>
          <w:p w:rsidR="00DF44A2" w:rsidRPr="00AC4255" w:rsidRDefault="00DF44A2" w:rsidP="00DF44A2">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52 Forskydninger i kortfristet gæld i øvrigt</w:t>
            </w:r>
          </w:p>
        </w:tc>
        <w:tc>
          <w:tcPr>
            <w:tcW w:w="850" w:type="dxa"/>
            <w:tcBorders>
              <w:top w:val="nil"/>
              <w:left w:val="nil"/>
              <w:bottom w:val="single" w:sz="4" w:space="0" w:color="auto"/>
              <w:right w:val="single" w:sz="4" w:space="0" w:color="auto"/>
            </w:tcBorders>
            <w:shd w:val="clear" w:color="auto" w:fill="auto"/>
            <w:noWrap/>
            <w:vAlign w:val="bottom"/>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210.843</w:t>
            </w:r>
          </w:p>
        </w:tc>
        <w:tc>
          <w:tcPr>
            <w:tcW w:w="851" w:type="dxa"/>
            <w:tcBorders>
              <w:top w:val="nil"/>
              <w:left w:val="nil"/>
              <w:bottom w:val="single" w:sz="4" w:space="0" w:color="auto"/>
              <w:right w:val="single" w:sz="4" w:space="0" w:color="auto"/>
            </w:tcBorders>
            <w:shd w:val="clear" w:color="auto" w:fill="auto"/>
            <w:noWrap/>
            <w:vAlign w:val="bottom"/>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-437</w:t>
            </w:r>
          </w:p>
        </w:tc>
        <w:tc>
          <w:tcPr>
            <w:tcW w:w="709" w:type="dxa"/>
            <w:tcBorders>
              <w:top w:val="nil"/>
              <w:left w:val="nil"/>
              <w:bottom w:val="single" w:sz="4" w:space="0" w:color="auto"/>
              <w:right w:val="single" w:sz="4" w:space="0" w:color="auto"/>
            </w:tcBorders>
            <w:shd w:val="clear" w:color="auto" w:fill="auto"/>
            <w:noWrap/>
            <w:vAlign w:val="bottom"/>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-437</w:t>
            </w:r>
          </w:p>
        </w:tc>
        <w:tc>
          <w:tcPr>
            <w:tcW w:w="992" w:type="dxa"/>
            <w:tcBorders>
              <w:top w:val="nil"/>
              <w:left w:val="nil"/>
              <w:bottom w:val="single" w:sz="4" w:space="0" w:color="auto"/>
              <w:right w:val="single" w:sz="4" w:space="0" w:color="auto"/>
            </w:tcBorders>
            <w:shd w:val="clear" w:color="auto" w:fill="auto"/>
            <w:noWrap/>
            <w:vAlign w:val="bottom"/>
          </w:tcPr>
          <w:p w:rsidR="00DF44A2" w:rsidRPr="00AC4255" w:rsidRDefault="00DF44A2" w:rsidP="00DF44A2">
            <w:pPr>
              <w:spacing w:after="0"/>
              <w:jc w:val="right"/>
              <w:rPr>
                <w:rFonts w:eastAsia="Times New Roman" w:cs="Arial"/>
                <w:color w:val="000000"/>
                <w:sz w:val="16"/>
                <w:szCs w:val="16"/>
                <w:lang w:eastAsia="da-DK"/>
              </w:rPr>
            </w:pPr>
            <w:r>
              <w:rPr>
                <w:rFonts w:eastAsia="Times New Roman" w:cs="Arial"/>
                <w:color w:val="000000"/>
                <w:sz w:val="16"/>
                <w:szCs w:val="16"/>
                <w:lang w:eastAsia="da-DK"/>
              </w:rPr>
              <w:t>139.367</w:t>
            </w:r>
          </w:p>
        </w:tc>
        <w:tc>
          <w:tcPr>
            <w:tcW w:w="822" w:type="dxa"/>
            <w:tcBorders>
              <w:top w:val="nil"/>
              <w:left w:val="nil"/>
              <w:bottom w:val="single" w:sz="4" w:space="0" w:color="auto"/>
              <w:right w:val="single" w:sz="4" w:space="0" w:color="auto"/>
            </w:tcBorders>
            <w:shd w:val="clear" w:color="auto" w:fill="auto"/>
            <w:noWrap/>
            <w:vAlign w:val="bottom"/>
          </w:tcPr>
          <w:p w:rsidR="00DF44A2" w:rsidRPr="00AC4255" w:rsidRDefault="001D3A38" w:rsidP="00DF44A2">
            <w:pPr>
              <w:spacing w:after="0"/>
              <w:jc w:val="right"/>
              <w:rPr>
                <w:rFonts w:eastAsia="Times New Roman" w:cs="Arial"/>
                <w:color w:val="000000"/>
                <w:sz w:val="16"/>
                <w:szCs w:val="16"/>
                <w:lang w:eastAsia="da-DK"/>
              </w:rPr>
            </w:pPr>
            <w:r>
              <w:rPr>
                <w:rFonts w:eastAsia="Times New Roman" w:cs="Arial"/>
                <w:color w:val="000000"/>
                <w:sz w:val="16"/>
                <w:szCs w:val="16"/>
                <w:lang w:eastAsia="da-DK"/>
              </w:rPr>
              <w:t>-139.324</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100" w:firstLine="160"/>
              <w:rPr>
                <w:rFonts w:eastAsia="Times New Roman" w:cs="Arial"/>
                <w:b/>
                <w:bCs/>
                <w:color w:val="000000"/>
                <w:sz w:val="16"/>
                <w:szCs w:val="16"/>
                <w:lang w:eastAsia="da-DK"/>
              </w:rPr>
            </w:pPr>
            <w:r w:rsidRPr="00AC4255">
              <w:rPr>
                <w:rFonts w:eastAsia="Times New Roman" w:cs="Arial"/>
                <w:b/>
                <w:bCs/>
                <w:color w:val="000000"/>
                <w:sz w:val="16"/>
                <w:szCs w:val="16"/>
                <w:lang w:eastAsia="da-DK"/>
              </w:rPr>
              <w:t>3 Teknik og Miljøudvalget</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b/>
                <w:bCs/>
                <w:color w:val="000000"/>
                <w:sz w:val="16"/>
                <w:szCs w:val="16"/>
                <w:lang w:eastAsia="da-DK"/>
              </w:rPr>
            </w:pPr>
            <w:r w:rsidRPr="00AC4255">
              <w:rPr>
                <w:rFonts w:eastAsia="Times New Roman" w:cs="Arial"/>
                <w:b/>
                <w:bCs/>
                <w:color w:val="000000"/>
                <w:sz w:val="16"/>
                <w:szCs w:val="16"/>
                <w:lang w:eastAsia="da-DK"/>
              </w:rPr>
              <w:t> </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b/>
                <w:bCs/>
                <w:color w:val="000000"/>
                <w:sz w:val="16"/>
                <w:szCs w:val="16"/>
                <w:lang w:eastAsia="da-DK"/>
              </w:rPr>
            </w:pPr>
            <w:r w:rsidRPr="00AC4255">
              <w:rPr>
                <w:rFonts w:eastAsia="Times New Roman" w:cs="Arial"/>
                <w:b/>
                <w:bCs/>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b/>
                <w:bCs/>
                <w:color w:val="000000"/>
                <w:sz w:val="16"/>
                <w:szCs w:val="16"/>
                <w:lang w:eastAsia="da-DK"/>
              </w:rPr>
            </w:pPr>
            <w:r w:rsidRPr="00AC4255">
              <w:rPr>
                <w:rFonts w:eastAsia="Times New Roman" w:cs="Arial"/>
                <w:b/>
                <w:bCs/>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b/>
                <w:bCs/>
                <w:color w:val="000000"/>
                <w:sz w:val="16"/>
                <w:szCs w:val="16"/>
                <w:lang w:eastAsia="da-DK"/>
              </w:rPr>
            </w:pPr>
            <w:r w:rsidRPr="00AC4255">
              <w:rPr>
                <w:rFonts w:eastAsia="Times New Roman" w:cs="Arial"/>
                <w:b/>
                <w:bCs/>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b/>
                <w:bCs/>
                <w:color w:val="000000"/>
                <w:sz w:val="16"/>
                <w:szCs w:val="16"/>
                <w:lang w:eastAsia="da-DK"/>
              </w:rPr>
            </w:pPr>
            <w:r w:rsidRPr="00AC4255">
              <w:rPr>
                <w:rFonts w:eastAsia="Times New Roman" w:cs="Arial"/>
                <w:b/>
                <w:bCs/>
                <w:color w:val="000000"/>
                <w:sz w:val="16"/>
                <w:szCs w:val="16"/>
                <w:lang w:eastAsia="da-DK"/>
              </w:rPr>
              <w:t>-30.533</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27760C" w:rsidRDefault="00DF44A2" w:rsidP="00DF44A2">
            <w:pPr>
              <w:spacing w:after="0"/>
              <w:jc w:val="right"/>
              <w:rPr>
                <w:rFonts w:eastAsia="Times New Roman" w:cs="Arial"/>
                <w:b/>
                <w:color w:val="000000"/>
                <w:sz w:val="16"/>
                <w:szCs w:val="16"/>
                <w:lang w:eastAsia="da-DK"/>
              </w:rPr>
            </w:pPr>
            <w:r w:rsidRPr="0027760C">
              <w:rPr>
                <w:rFonts w:eastAsia="Times New Roman" w:cs="Arial"/>
                <w:b/>
                <w:color w:val="000000"/>
                <w:sz w:val="16"/>
                <w:szCs w:val="16"/>
                <w:lang w:eastAsia="da-DK"/>
              </w:rPr>
              <w:t>30.533</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08 Balanceforskydninger</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-30.533</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30.533</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52 Forskydninger i kortfristet gæld i øvrigt</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-30.533</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30.533</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100" w:firstLine="160"/>
              <w:rPr>
                <w:rFonts w:eastAsia="Times New Roman" w:cs="Arial"/>
                <w:b/>
                <w:bCs/>
                <w:color w:val="000000"/>
                <w:sz w:val="16"/>
                <w:szCs w:val="16"/>
                <w:lang w:eastAsia="da-DK"/>
              </w:rPr>
            </w:pPr>
            <w:r w:rsidRPr="00AC4255">
              <w:rPr>
                <w:rFonts w:eastAsia="Times New Roman" w:cs="Arial"/>
                <w:b/>
                <w:bCs/>
                <w:color w:val="000000"/>
                <w:sz w:val="16"/>
                <w:szCs w:val="16"/>
                <w:lang w:eastAsia="da-DK"/>
              </w:rPr>
              <w:t>5 Børneudvalget</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b/>
                <w:bCs/>
                <w:color w:val="000000"/>
                <w:sz w:val="16"/>
                <w:szCs w:val="16"/>
                <w:lang w:eastAsia="da-DK"/>
              </w:rPr>
            </w:pPr>
            <w:r w:rsidRPr="00AC4255">
              <w:rPr>
                <w:rFonts w:eastAsia="Times New Roman" w:cs="Arial"/>
                <w:b/>
                <w:bCs/>
                <w:color w:val="000000"/>
                <w:sz w:val="16"/>
                <w:szCs w:val="16"/>
                <w:lang w:eastAsia="da-DK"/>
              </w:rPr>
              <w:t>-186</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b/>
                <w:bCs/>
                <w:color w:val="000000"/>
                <w:sz w:val="16"/>
                <w:szCs w:val="16"/>
                <w:lang w:eastAsia="da-DK"/>
              </w:rPr>
            </w:pPr>
            <w:r w:rsidRPr="00AC4255">
              <w:rPr>
                <w:rFonts w:eastAsia="Times New Roman" w:cs="Arial"/>
                <w:b/>
                <w:bCs/>
                <w:color w:val="000000"/>
                <w:sz w:val="16"/>
                <w:szCs w:val="16"/>
                <w:lang w:eastAsia="da-DK"/>
              </w:rPr>
              <w:t>-16.242</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27760C" w:rsidRDefault="00DF44A2" w:rsidP="00DF44A2">
            <w:pPr>
              <w:spacing w:after="0"/>
              <w:jc w:val="right"/>
              <w:rPr>
                <w:rFonts w:eastAsia="Times New Roman" w:cs="Arial"/>
                <w:b/>
                <w:color w:val="000000"/>
                <w:sz w:val="16"/>
                <w:szCs w:val="16"/>
                <w:lang w:eastAsia="da-DK"/>
              </w:rPr>
            </w:pPr>
            <w:r w:rsidRPr="0027760C">
              <w:rPr>
                <w:rFonts w:eastAsia="Times New Roman" w:cs="Arial"/>
                <w:b/>
                <w:color w:val="000000"/>
                <w:sz w:val="16"/>
                <w:szCs w:val="16"/>
                <w:lang w:eastAsia="da-DK"/>
              </w:rPr>
              <w:t>16.242</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200" w:firstLine="320"/>
              <w:rPr>
                <w:rFonts w:eastAsia="Times New Roman" w:cs="Arial"/>
                <w:color w:val="000000"/>
                <w:sz w:val="16"/>
                <w:szCs w:val="16"/>
                <w:lang w:eastAsia="da-DK"/>
              </w:rPr>
            </w:pPr>
            <w:r w:rsidRPr="00AC4255">
              <w:rPr>
                <w:rFonts w:eastAsia="Times New Roman" w:cs="Arial"/>
                <w:color w:val="000000"/>
                <w:sz w:val="16"/>
                <w:szCs w:val="16"/>
                <w:lang w:eastAsia="da-DK"/>
              </w:rPr>
              <w:t>08 Balanceforskydninger</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-186</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-16.242</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16.242</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22 Forskydninger i likvide aktiver</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-170</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-125</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125</w:t>
            </w:r>
          </w:p>
        </w:tc>
      </w:tr>
      <w:tr w:rsidR="00BE0895"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tcPr>
          <w:p w:rsidR="00BE0895" w:rsidRPr="00AC4255" w:rsidRDefault="00BE0895" w:rsidP="00DF44A2">
            <w:pPr>
              <w:spacing w:after="0"/>
              <w:ind w:firstLineChars="300" w:firstLine="480"/>
              <w:rPr>
                <w:rFonts w:eastAsia="Times New Roman" w:cs="Arial"/>
                <w:color w:val="000000"/>
                <w:sz w:val="16"/>
                <w:szCs w:val="16"/>
                <w:lang w:eastAsia="da-DK"/>
              </w:rPr>
            </w:pPr>
            <w:r>
              <w:rPr>
                <w:rFonts w:eastAsia="Times New Roman" w:cs="Arial"/>
                <w:color w:val="000000"/>
                <w:sz w:val="16"/>
                <w:szCs w:val="16"/>
                <w:lang w:eastAsia="da-DK"/>
              </w:rPr>
              <w:t>28 Forskydninger i kortfristede tilgodehavender i øvrigt</w:t>
            </w:r>
          </w:p>
        </w:tc>
        <w:tc>
          <w:tcPr>
            <w:tcW w:w="850" w:type="dxa"/>
            <w:tcBorders>
              <w:top w:val="nil"/>
              <w:left w:val="nil"/>
              <w:bottom w:val="single" w:sz="4" w:space="0" w:color="auto"/>
              <w:right w:val="single" w:sz="4" w:space="0" w:color="auto"/>
            </w:tcBorders>
            <w:shd w:val="clear" w:color="auto" w:fill="auto"/>
            <w:noWrap/>
            <w:vAlign w:val="bottom"/>
          </w:tcPr>
          <w:p w:rsidR="00BE0895" w:rsidRPr="00AC4255" w:rsidRDefault="00BE0895" w:rsidP="00DF44A2">
            <w:pPr>
              <w:spacing w:after="0"/>
              <w:jc w:val="right"/>
              <w:rPr>
                <w:rFonts w:eastAsia="Times New Roman" w:cs="Arial"/>
                <w:color w:val="000000"/>
                <w:sz w:val="16"/>
                <w:szCs w:val="16"/>
                <w:lang w:eastAsia="da-DK"/>
              </w:rPr>
            </w:pPr>
          </w:p>
        </w:tc>
        <w:tc>
          <w:tcPr>
            <w:tcW w:w="851" w:type="dxa"/>
            <w:tcBorders>
              <w:top w:val="nil"/>
              <w:left w:val="nil"/>
              <w:bottom w:val="single" w:sz="4" w:space="0" w:color="auto"/>
              <w:right w:val="single" w:sz="4" w:space="0" w:color="auto"/>
            </w:tcBorders>
            <w:shd w:val="clear" w:color="auto" w:fill="auto"/>
            <w:noWrap/>
            <w:vAlign w:val="bottom"/>
          </w:tcPr>
          <w:p w:rsidR="00BE0895" w:rsidRPr="00AC4255" w:rsidRDefault="00BE0895" w:rsidP="00DF44A2">
            <w:pPr>
              <w:spacing w:after="0"/>
              <w:rPr>
                <w:rFonts w:eastAsia="Times New Roman" w:cs="Arial"/>
                <w:color w:val="000000"/>
                <w:sz w:val="16"/>
                <w:szCs w:val="16"/>
                <w:lang w:eastAsia="da-DK"/>
              </w:rPr>
            </w:pPr>
          </w:p>
        </w:tc>
        <w:tc>
          <w:tcPr>
            <w:tcW w:w="709" w:type="dxa"/>
            <w:tcBorders>
              <w:top w:val="nil"/>
              <w:left w:val="nil"/>
              <w:bottom w:val="single" w:sz="4" w:space="0" w:color="auto"/>
              <w:right w:val="single" w:sz="4" w:space="0" w:color="auto"/>
            </w:tcBorders>
            <w:shd w:val="clear" w:color="auto" w:fill="auto"/>
            <w:noWrap/>
            <w:vAlign w:val="bottom"/>
          </w:tcPr>
          <w:p w:rsidR="00BE0895" w:rsidRPr="00AC4255" w:rsidRDefault="00BE0895" w:rsidP="00DF44A2">
            <w:pPr>
              <w:spacing w:after="0"/>
              <w:rPr>
                <w:rFonts w:eastAsia="Times New Roman" w:cs="Arial"/>
                <w:color w:val="000000"/>
                <w:sz w:val="16"/>
                <w:szCs w:val="16"/>
                <w:lang w:eastAsia="da-DK"/>
              </w:rPr>
            </w:pPr>
          </w:p>
        </w:tc>
        <w:tc>
          <w:tcPr>
            <w:tcW w:w="850" w:type="dxa"/>
            <w:tcBorders>
              <w:top w:val="nil"/>
              <w:left w:val="nil"/>
              <w:bottom w:val="single" w:sz="4" w:space="0" w:color="auto"/>
              <w:right w:val="single" w:sz="4" w:space="0" w:color="auto"/>
            </w:tcBorders>
            <w:shd w:val="clear" w:color="auto" w:fill="auto"/>
            <w:noWrap/>
            <w:vAlign w:val="bottom"/>
          </w:tcPr>
          <w:p w:rsidR="00BE0895" w:rsidRPr="00AC4255" w:rsidRDefault="00BE0895" w:rsidP="00DF44A2">
            <w:pPr>
              <w:spacing w:after="0"/>
              <w:rPr>
                <w:rFonts w:eastAsia="Times New Roman" w:cs="Arial"/>
                <w:color w:val="000000"/>
                <w:sz w:val="16"/>
                <w:szCs w:val="16"/>
                <w:lang w:eastAsia="da-DK"/>
              </w:rPr>
            </w:pPr>
          </w:p>
        </w:tc>
        <w:tc>
          <w:tcPr>
            <w:tcW w:w="992" w:type="dxa"/>
            <w:tcBorders>
              <w:top w:val="nil"/>
              <w:left w:val="nil"/>
              <w:bottom w:val="single" w:sz="4" w:space="0" w:color="auto"/>
              <w:right w:val="single" w:sz="4" w:space="0" w:color="auto"/>
            </w:tcBorders>
            <w:shd w:val="clear" w:color="auto" w:fill="auto"/>
            <w:noWrap/>
            <w:vAlign w:val="bottom"/>
          </w:tcPr>
          <w:p w:rsidR="00BE0895" w:rsidRPr="00AC4255" w:rsidRDefault="00BE0895" w:rsidP="00DF44A2">
            <w:pPr>
              <w:spacing w:after="0"/>
              <w:jc w:val="right"/>
              <w:rPr>
                <w:rFonts w:eastAsia="Times New Roman" w:cs="Arial"/>
                <w:color w:val="000000"/>
                <w:sz w:val="16"/>
                <w:szCs w:val="16"/>
                <w:lang w:eastAsia="da-DK"/>
              </w:rPr>
            </w:pPr>
            <w:r>
              <w:rPr>
                <w:rFonts w:eastAsia="Times New Roman" w:cs="Arial"/>
                <w:color w:val="000000"/>
                <w:sz w:val="16"/>
                <w:szCs w:val="16"/>
                <w:lang w:eastAsia="da-DK"/>
              </w:rPr>
              <w:t>-8.861</w:t>
            </w:r>
          </w:p>
        </w:tc>
        <w:tc>
          <w:tcPr>
            <w:tcW w:w="822" w:type="dxa"/>
            <w:tcBorders>
              <w:top w:val="nil"/>
              <w:left w:val="nil"/>
              <w:bottom w:val="single" w:sz="4" w:space="0" w:color="auto"/>
              <w:right w:val="single" w:sz="4" w:space="0" w:color="auto"/>
            </w:tcBorders>
            <w:shd w:val="clear" w:color="auto" w:fill="auto"/>
            <w:noWrap/>
            <w:vAlign w:val="bottom"/>
          </w:tcPr>
          <w:p w:rsidR="00BE0895" w:rsidRPr="00AC4255" w:rsidRDefault="00BE0895" w:rsidP="00DF44A2">
            <w:pPr>
              <w:spacing w:after="0"/>
              <w:jc w:val="right"/>
              <w:rPr>
                <w:rFonts w:eastAsia="Times New Roman" w:cs="Arial"/>
                <w:color w:val="000000"/>
                <w:sz w:val="16"/>
                <w:szCs w:val="16"/>
                <w:lang w:eastAsia="da-DK"/>
              </w:rPr>
            </w:pPr>
            <w:r>
              <w:rPr>
                <w:rFonts w:eastAsia="Times New Roman" w:cs="Arial"/>
                <w:color w:val="000000"/>
                <w:sz w:val="16"/>
                <w:szCs w:val="16"/>
                <w:lang w:eastAsia="da-DK"/>
              </w:rPr>
              <w:t>8.861</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42 Forskydninger i aktiver tilhørende fonds, legater m.v.</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-491</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BE0895" w:rsidP="00DF44A2">
            <w:pPr>
              <w:spacing w:after="0"/>
              <w:jc w:val="right"/>
              <w:rPr>
                <w:rFonts w:eastAsia="Times New Roman" w:cs="Arial"/>
                <w:color w:val="000000"/>
                <w:sz w:val="16"/>
                <w:szCs w:val="16"/>
                <w:lang w:eastAsia="da-DK"/>
              </w:rPr>
            </w:pPr>
            <w:r>
              <w:rPr>
                <w:rFonts w:eastAsia="Times New Roman" w:cs="Arial"/>
                <w:color w:val="000000"/>
                <w:sz w:val="16"/>
                <w:szCs w:val="16"/>
                <w:lang w:eastAsia="da-DK"/>
              </w:rPr>
              <w:t>202</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BE0895" w:rsidP="00DF44A2">
            <w:pPr>
              <w:spacing w:after="0"/>
              <w:jc w:val="right"/>
              <w:rPr>
                <w:rFonts w:eastAsia="Times New Roman" w:cs="Arial"/>
                <w:color w:val="000000"/>
                <w:sz w:val="16"/>
                <w:szCs w:val="16"/>
                <w:lang w:eastAsia="da-DK"/>
              </w:rPr>
            </w:pPr>
            <w:r>
              <w:rPr>
                <w:rFonts w:eastAsia="Times New Roman" w:cs="Arial"/>
                <w:color w:val="000000"/>
                <w:sz w:val="16"/>
                <w:szCs w:val="16"/>
                <w:lang w:eastAsia="da-DK"/>
              </w:rPr>
              <w:t>-202</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52 Forskydninger i kortfristet gæld i øvrigt</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475</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BE0895" w:rsidP="00DF44A2">
            <w:pPr>
              <w:spacing w:after="0"/>
              <w:jc w:val="right"/>
              <w:rPr>
                <w:rFonts w:eastAsia="Times New Roman" w:cs="Arial"/>
                <w:color w:val="000000"/>
                <w:sz w:val="16"/>
                <w:szCs w:val="16"/>
                <w:lang w:eastAsia="da-DK"/>
              </w:rPr>
            </w:pPr>
            <w:r>
              <w:rPr>
                <w:rFonts w:eastAsia="Times New Roman" w:cs="Arial"/>
                <w:color w:val="000000"/>
                <w:sz w:val="16"/>
                <w:szCs w:val="16"/>
                <w:lang w:eastAsia="da-DK"/>
              </w:rPr>
              <w:t>-7.458</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BE0895" w:rsidP="00DF44A2">
            <w:pPr>
              <w:spacing w:after="0"/>
              <w:jc w:val="right"/>
              <w:rPr>
                <w:rFonts w:eastAsia="Times New Roman" w:cs="Arial"/>
                <w:color w:val="000000"/>
                <w:sz w:val="16"/>
                <w:szCs w:val="16"/>
                <w:lang w:eastAsia="da-DK"/>
              </w:rPr>
            </w:pPr>
            <w:r>
              <w:rPr>
                <w:rFonts w:eastAsia="Times New Roman" w:cs="Arial"/>
                <w:color w:val="000000"/>
                <w:sz w:val="16"/>
                <w:szCs w:val="16"/>
                <w:lang w:eastAsia="da-DK"/>
              </w:rPr>
              <w:t>7.458</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100" w:firstLine="160"/>
              <w:rPr>
                <w:rFonts w:eastAsia="Times New Roman" w:cs="Arial"/>
                <w:b/>
                <w:bCs/>
                <w:color w:val="000000"/>
                <w:sz w:val="16"/>
                <w:szCs w:val="16"/>
                <w:lang w:eastAsia="da-DK"/>
              </w:rPr>
            </w:pPr>
            <w:r w:rsidRPr="00AC4255">
              <w:rPr>
                <w:rFonts w:eastAsia="Times New Roman" w:cs="Arial"/>
                <w:b/>
                <w:bCs/>
                <w:color w:val="000000"/>
                <w:sz w:val="16"/>
                <w:szCs w:val="16"/>
                <w:lang w:eastAsia="da-DK"/>
              </w:rPr>
              <w:t>6 Beskæftigelsesudvalget</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b/>
                <w:bCs/>
                <w:color w:val="000000"/>
                <w:sz w:val="16"/>
                <w:szCs w:val="16"/>
                <w:lang w:eastAsia="da-DK"/>
              </w:rPr>
            </w:pPr>
            <w:r w:rsidRPr="00AC4255">
              <w:rPr>
                <w:rFonts w:eastAsia="Times New Roman" w:cs="Arial"/>
                <w:b/>
                <w:bCs/>
                <w:color w:val="000000"/>
                <w:sz w:val="16"/>
                <w:szCs w:val="16"/>
                <w:lang w:eastAsia="da-DK"/>
              </w:rPr>
              <w:t>5.323</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b/>
                <w:bCs/>
                <w:color w:val="000000"/>
                <w:sz w:val="16"/>
                <w:szCs w:val="16"/>
                <w:lang w:eastAsia="da-DK"/>
              </w:rPr>
            </w:pPr>
            <w:r w:rsidRPr="00AC4255">
              <w:rPr>
                <w:rFonts w:eastAsia="Times New Roman" w:cs="Arial"/>
                <w:b/>
                <w:bCs/>
                <w:color w:val="000000"/>
                <w:sz w:val="16"/>
                <w:szCs w:val="16"/>
                <w:lang w:eastAsia="da-DK"/>
              </w:rPr>
              <w:t>6.115</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27760C" w:rsidRDefault="00DF44A2" w:rsidP="00DF44A2">
            <w:pPr>
              <w:spacing w:after="0"/>
              <w:jc w:val="right"/>
              <w:rPr>
                <w:rFonts w:eastAsia="Times New Roman" w:cs="Arial"/>
                <w:b/>
                <w:color w:val="000000"/>
                <w:sz w:val="16"/>
                <w:szCs w:val="16"/>
                <w:lang w:eastAsia="da-DK"/>
              </w:rPr>
            </w:pPr>
            <w:r w:rsidRPr="0027760C">
              <w:rPr>
                <w:rFonts w:eastAsia="Times New Roman" w:cs="Arial"/>
                <w:b/>
                <w:color w:val="000000"/>
                <w:sz w:val="16"/>
                <w:szCs w:val="16"/>
                <w:lang w:eastAsia="da-DK"/>
              </w:rPr>
              <w:t>-6.115</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200" w:firstLine="320"/>
              <w:rPr>
                <w:rFonts w:eastAsia="Times New Roman" w:cs="Arial"/>
                <w:color w:val="000000"/>
                <w:sz w:val="16"/>
                <w:szCs w:val="16"/>
                <w:lang w:eastAsia="da-DK"/>
              </w:rPr>
            </w:pPr>
            <w:r w:rsidRPr="00AC4255">
              <w:rPr>
                <w:rFonts w:eastAsia="Times New Roman" w:cs="Arial"/>
                <w:color w:val="000000"/>
                <w:sz w:val="16"/>
                <w:szCs w:val="16"/>
                <w:lang w:eastAsia="da-DK"/>
              </w:rPr>
              <w:t>08 Balanceforskydninger</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5.323</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6.115</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-6.115</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22 Forskydninger i likvide aktiver</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1.054</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2.863</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-2.863</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45 Forskydninger i passiver tilhørende fonds, legater m.v.</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-435</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-417</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417</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52 Forskydninger i kortfristet gæld i øvrigt</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4.705</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3.668</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-3.668</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100" w:firstLine="160"/>
              <w:rPr>
                <w:rFonts w:eastAsia="Times New Roman" w:cs="Arial"/>
                <w:b/>
                <w:bCs/>
                <w:color w:val="000000"/>
                <w:sz w:val="16"/>
                <w:szCs w:val="16"/>
                <w:lang w:eastAsia="da-DK"/>
              </w:rPr>
            </w:pPr>
            <w:r w:rsidRPr="00AC4255">
              <w:rPr>
                <w:rFonts w:eastAsia="Times New Roman" w:cs="Arial"/>
                <w:b/>
                <w:bCs/>
                <w:color w:val="000000"/>
                <w:sz w:val="16"/>
                <w:szCs w:val="16"/>
                <w:lang w:eastAsia="da-DK"/>
              </w:rPr>
              <w:t>7 Idræts- og Fritidsudvalget</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D0048" w:rsidRDefault="00DF44A2" w:rsidP="00DF44A2">
            <w:pPr>
              <w:spacing w:after="0"/>
              <w:jc w:val="right"/>
              <w:rPr>
                <w:rFonts w:eastAsia="Times New Roman" w:cs="Arial"/>
                <w:b/>
                <w:color w:val="000000"/>
                <w:sz w:val="16"/>
                <w:szCs w:val="16"/>
                <w:lang w:eastAsia="da-DK"/>
              </w:rPr>
            </w:pPr>
            <w:r w:rsidRPr="00AD0048">
              <w:rPr>
                <w:rFonts w:eastAsia="Times New Roman" w:cs="Arial"/>
                <w:b/>
                <w:color w:val="000000"/>
                <w:sz w:val="16"/>
                <w:szCs w:val="16"/>
                <w:lang w:eastAsia="da-DK"/>
              </w:rPr>
              <w:t>205</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b/>
                <w:bCs/>
                <w:color w:val="000000"/>
                <w:sz w:val="16"/>
                <w:szCs w:val="16"/>
                <w:lang w:eastAsia="da-DK"/>
              </w:rPr>
            </w:pPr>
            <w:r w:rsidRPr="00AC4255">
              <w:rPr>
                <w:rFonts w:eastAsia="Times New Roman" w:cs="Arial"/>
                <w:b/>
                <w:bCs/>
                <w:color w:val="000000"/>
                <w:sz w:val="16"/>
                <w:szCs w:val="16"/>
                <w:lang w:eastAsia="da-DK"/>
              </w:rPr>
              <w:t>-1.574</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807480" w:rsidRDefault="00DF44A2" w:rsidP="00DF44A2">
            <w:pPr>
              <w:spacing w:after="0"/>
              <w:jc w:val="right"/>
              <w:rPr>
                <w:rFonts w:eastAsia="Times New Roman" w:cs="Arial"/>
                <w:b/>
                <w:color w:val="000000"/>
                <w:sz w:val="16"/>
                <w:szCs w:val="16"/>
                <w:lang w:eastAsia="da-DK"/>
              </w:rPr>
            </w:pPr>
            <w:r w:rsidRPr="00807480">
              <w:rPr>
                <w:rFonts w:eastAsia="Times New Roman" w:cs="Arial"/>
                <w:b/>
                <w:color w:val="000000"/>
                <w:sz w:val="16"/>
                <w:szCs w:val="16"/>
                <w:lang w:eastAsia="da-DK"/>
              </w:rPr>
              <w:t>1.574</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200" w:firstLine="320"/>
              <w:rPr>
                <w:rFonts w:eastAsia="Times New Roman" w:cs="Arial"/>
                <w:color w:val="000000"/>
                <w:sz w:val="16"/>
                <w:szCs w:val="16"/>
                <w:lang w:eastAsia="da-DK"/>
              </w:rPr>
            </w:pPr>
            <w:r w:rsidRPr="00AC4255">
              <w:rPr>
                <w:rFonts w:eastAsia="Times New Roman" w:cs="Arial"/>
                <w:color w:val="000000"/>
                <w:sz w:val="16"/>
                <w:szCs w:val="16"/>
                <w:lang w:eastAsia="da-DK"/>
              </w:rPr>
              <w:t>08 Balanceforskydninger</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807480" w:rsidRDefault="00DF44A2" w:rsidP="00DF44A2">
            <w:pPr>
              <w:spacing w:after="0"/>
              <w:jc w:val="right"/>
              <w:rPr>
                <w:rFonts w:eastAsia="Times New Roman" w:cs="Arial"/>
                <w:b/>
                <w:color w:val="000000"/>
                <w:sz w:val="16"/>
                <w:szCs w:val="16"/>
                <w:lang w:eastAsia="da-DK"/>
              </w:rPr>
            </w:pPr>
            <w:r w:rsidRPr="00807480">
              <w:rPr>
                <w:rFonts w:eastAsia="Times New Roman" w:cs="Arial"/>
                <w:b/>
                <w:color w:val="000000"/>
                <w:sz w:val="16"/>
                <w:szCs w:val="16"/>
                <w:lang w:eastAsia="da-DK"/>
              </w:rPr>
              <w:t>-1.574</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807480" w:rsidRDefault="00DF44A2" w:rsidP="00DF44A2">
            <w:pPr>
              <w:spacing w:after="0"/>
              <w:jc w:val="right"/>
              <w:rPr>
                <w:rFonts w:eastAsia="Times New Roman" w:cs="Arial"/>
                <w:b/>
                <w:color w:val="000000"/>
                <w:sz w:val="16"/>
                <w:szCs w:val="16"/>
                <w:lang w:eastAsia="da-DK"/>
              </w:rPr>
            </w:pPr>
            <w:r w:rsidRPr="00807480">
              <w:rPr>
                <w:rFonts w:eastAsia="Times New Roman" w:cs="Arial"/>
                <w:b/>
                <w:color w:val="000000"/>
                <w:sz w:val="16"/>
                <w:szCs w:val="16"/>
                <w:lang w:eastAsia="da-DK"/>
              </w:rPr>
              <w:t>1.574</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200" w:firstLine="320"/>
              <w:rPr>
                <w:rFonts w:eastAsia="Times New Roman" w:cs="Arial"/>
                <w:color w:val="000000"/>
                <w:sz w:val="16"/>
                <w:szCs w:val="16"/>
                <w:lang w:eastAsia="da-DK"/>
              </w:rPr>
            </w:pPr>
            <w:r w:rsidRPr="00AC4255">
              <w:rPr>
                <w:rFonts w:eastAsia="Times New Roman" w:cs="Arial"/>
                <w:color w:val="000000"/>
                <w:sz w:val="16"/>
                <w:szCs w:val="16"/>
                <w:lang w:eastAsia="da-DK"/>
              </w:rPr>
              <w:t>22 Forskydninger i likvide aktiver</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b/>
                <w:bCs/>
                <w:color w:val="000000"/>
                <w:sz w:val="16"/>
                <w:szCs w:val="16"/>
                <w:lang w:eastAsia="da-DK"/>
              </w:rPr>
            </w:pPr>
            <w:r w:rsidRPr="00AC4255">
              <w:rPr>
                <w:rFonts w:eastAsia="Times New Roman" w:cs="Arial"/>
                <w:b/>
                <w:bCs/>
                <w:color w:val="000000"/>
                <w:sz w:val="16"/>
                <w:szCs w:val="16"/>
                <w:lang w:eastAsia="da-DK"/>
              </w:rPr>
              <w:t> </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b/>
                <w:bCs/>
                <w:color w:val="000000"/>
                <w:sz w:val="16"/>
                <w:szCs w:val="16"/>
                <w:lang w:eastAsia="da-DK"/>
              </w:rPr>
            </w:pPr>
            <w:r w:rsidRPr="00AC4255">
              <w:rPr>
                <w:rFonts w:eastAsia="Times New Roman" w:cs="Arial"/>
                <w:b/>
                <w:bCs/>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b/>
                <w:bCs/>
                <w:color w:val="000000"/>
                <w:sz w:val="16"/>
                <w:szCs w:val="16"/>
                <w:lang w:eastAsia="da-DK"/>
              </w:rPr>
            </w:pPr>
            <w:r w:rsidRPr="00AC4255">
              <w:rPr>
                <w:rFonts w:eastAsia="Times New Roman" w:cs="Arial"/>
                <w:b/>
                <w:bCs/>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b/>
                <w:bCs/>
                <w:color w:val="000000"/>
                <w:sz w:val="16"/>
                <w:szCs w:val="16"/>
                <w:lang w:eastAsia="da-DK"/>
              </w:rPr>
            </w:pPr>
            <w:r w:rsidRPr="00AC4255">
              <w:rPr>
                <w:rFonts w:eastAsia="Times New Roman" w:cs="Arial"/>
                <w:b/>
                <w:bCs/>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b/>
                <w:bCs/>
                <w:color w:val="000000"/>
                <w:sz w:val="16"/>
                <w:szCs w:val="16"/>
                <w:lang w:eastAsia="da-DK"/>
              </w:rPr>
            </w:pPr>
            <w:r w:rsidRPr="00AC4255">
              <w:rPr>
                <w:rFonts w:eastAsia="Times New Roman" w:cs="Arial"/>
                <w:b/>
                <w:bCs/>
                <w:color w:val="000000"/>
                <w:sz w:val="16"/>
                <w:szCs w:val="16"/>
                <w:lang w:eastAsia="da-DK"/>
              </w:rPr>
              <w:t>-1</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200" w:firstLine="320"/>
              <w:rPr>
                <w:rFonts w:eastAsia="Times New Roman" w:cs="Arial"/>
                <w:color w:val="000000"/>
                <w:sz w:val="16"/>
                <w:szCs w:val="16"/>
                <w:lang w:eastAsia="da-DK"/>
              </w:rPr>
            </w:pPr>
            <w:r w:rsidRPr="00AC4255">
              <w:rPr>
                <w:rFonts w:eastAsia="Times New Roman" w:cs="Arial"/>
                <w:color w:val="000000"/>
                <w:sz w:val="16"/>
                <w:szCs w:val="16"/>
                <w:lang w:eastAsia="da-DK"/>
              </w:rPr>
              <w:t>28 Forskydninger i kortfristede tilgodehavender i øvrigt</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-1.776</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1.776</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200" w:firstLine="320"/>
              <w:rPr>
                <w:rFonts w:eastAsia="Times New Roman" w:cs="Arial"/>
                <w:color w:val="000000"/>
                <w:sz w:val="16"/>
                <w:szCs w:val="16"/>
                <w:lang w:eastAsia="da-DK"/>
              </w:rPr>
            </w:pPr>
            <w:r w:rsidRPr="00AC4255">
              <w:rPr>
                <w:rFonts w:eastAsia="Times New Roman" w:cs="Arial"/>
                <w:color w:val="000000"/>
                <w:sz w:val="16"/>
                <w:szCs w:val="16"/>
                <w:lang w:eastAsia="da-DK"/>
              </w:rPr>
              <w:t>32 Forskydninger i langfristede tilgodehavender</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107</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-107</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52 Forskydninger i kortfristet gæld i øvrigt</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94</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-94</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100" w:firstLine="160"/>
              <w:rPr>
                <w:rFonts w:eastAsia="Times New Roman" w:cs="Arial"/>
                <w:b/>
                <w:bCs/>
                <w:color w:val="000000"/>
                <w:sz w:val="16"/>
                <w:szCs w:val="16"/>
                <w:lang w:eastAsia="da-DK"/>
              </w:rPr>
            </w:pPr>
            <w:r w:rsidRPr="00AC4255">
              <w:rPr>
                <w:rFonts w:eastAsia="Times New Roman" w:cs="Arial"/>
                <w:b/>
                <w:bCs/>
                <w:color w:val="000000"/>
                <w:sz w:val="16"/>
                <w:szCs w:val="16"/>
                <w:lang w:eastAsia="da-DK"/>
              </w:rPr>
              <w:t>8 Kulturudvalget</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b/>
                <w:bCs/>
                <w:color w:val="000000"/>
                <w:sz w:val="16"/>
                <w:szCs w:val="16"/>
                <w:lang w:eastAsia="da-DK"/>
              </w:rPr>
            </w:pPr>
            <w:r w:rsidRPr="00AC4255">
              <w:rPr>
                <w:rFonts w:eastAsia="Times New Roman" w:cs="Arial"/>
                <w:b/>
                <w:bCs/>
                <w:color w:val="000000"/>
                <w:sz w:val="16"/>
                <w:szCs w:val="16"/>
                <w:lang w:eastAsia="da-DK"/>
              </w:rPr>
              <w:t>205</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b/>
                <w:bCs/>
                <w:color w:val="000000"/>
                <w:sz w:val="16"/>
                <w:szCs w:val="16"/>
                <w:lang w:eastAsia="da-DK"/>
              </w:rPr>
            </w:pPr>
            <w:r w:rsidRPr="00AC4255">
              <w:rPr>
                <w:rFonts w:eastAsia="Times New Roman" w:cs="Arial"/>
                <w:b/>
                <w:bCs/>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b/>
                <w:bCs/>
                <w:color w:val="000000"/>
                <w:sz w:val="16"/>
                <w:szCs w:val="16"/>
                <w:lang w:eastAsia="da-DK"/>
              </w:rPr>
            </w:pPr>
            <w:r w:rsidRPr="00AC4255">
              <w:rPr>
                <w:rFonts w:eastAsia="Times New Roman" w:cs="Arial"/>
                <w:b/>
                <w:bCs/>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b/>
                <w:bCs/>
                <w:color w:val="000000"/>
                <w:sz w:val="16"/>
                <w:szCs w:val="16"/>
                <w:lang w:eastAsia="da-DK"/>
              </w:rPr>
            </w:pPr>
            <w:r w:rsidRPr="00AC4255">
              <w:rPr>
                <w:rFonts w:eastAsia="Times New Roman" w:cs="Arial"/>
                <w:b/>
                <w:bCs/>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b/>
                <w:bCs/>
                <w:color w:val="000000"/>
                <w:sz w:val="16"/>
                <w:szCs w:val="16"/>
                <w:lang w:eastAsia="da-DK"/>
              </w:rPr>
            </w:pPr>
            <w:r w:rsidRPr="00AC4255">
              <w:rPr>
                <w:rFonts w:eastAsia="Times New Roman" w:cs="Arial"/>
                <w:b/>
                <w:bCs/>
                <w:color w:val="000000"/>
                <w:sz w:val="16"/>
                <w:szCs w:val="16"/>
                <w:lang w:eastAsia="da-DK"/>
              </w:rPr>
              <w:t>-414</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27760C">
              <w:rPr>
                <w:rFonts w:eastAsia="Times New Roman" w:cs="Arial"/>
                <w:b/>
                <w:color w:val="000000"/>
                <w:sz w:val="16"/>
                <w:szCs w:val="16"/>
                <w:lang w:eastAsia="da-DK"/>
              </w:rPr>
              <w:t>414</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200" w:firstLine="320"/>
              <w:rPr>
                <w:rFonts w:eastAsia="Times New Roman" w:cs="Arial"/>
                <w:color w:val="000000"/>
                <w:sz w:val="16"/>
                <w:szCs w:val="16"/>
                <w:lang w:eastAsia="da-DK"/>
              </w:rPr>
            </w:pPr>
            <w:r w:rsidRPr="00AC4255">
              <w:rPr>
                <w:rFonts w:eastAsia="Times New Roman" w:cs="Arial"/>
                <w:color w:val="000000"/>
                <w:sz w:val="16"/>
                <w:szCs w:val="16"/>
                <w:lang w:eastAsia="da-DK"/>
              </w:rPr>
              <w:t>08 Balanceforskydninger</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b/>
                <w:bCs/>
                <w:color w:val="000000"/>
                <w:sz w:val="16"/>
                <w:szCs w:val="16"/>
                <w:lang w:eastAsia="da-DK"/>
              </w:rPr>
            </w:pPr>
            <w:r w:rsidRPr="00AC4255">
              <w:rPr>
                <w:rFonts w:eastAsia="Times New Roman" w:cs="Arial"/>
                <w:b/>
                <w:bCs/>
                <w:color w:val="000000"/>
                <w:sz w:val="16"/>
                <w:szCs w:val="16"/>
                <w:lang w:eastAsia="da-DK"/>
              </w:rPr>
              <w:t> </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807480" w:rsidRDefault="00DF44A2" w:rsidP="00DF44A2">
            <w:pPr>
              <w:spacing w:after="0"/>
              <w:jc w:val="right"/>
              <w:rPr>
                <w:rFonts w:eastAsia="Times New Roman" w:cs="Arial"/>
                <w:b/>
                <w:color w:val="000000"/>
                <w:sz w:val="16"/>
                <w:szCs w:val="16"/>
                <w:lang w:eastAsia="da-DK"/>
              </w:rPr>
            </w:pPr>
            <w:r w:rsidRPr="00807480">
              <w:rPr>
                <w:rFonts w:eastAsia="Times New Roman" w:cs="Arial"/>
                <w:b/>
                <w:color w:val="000000"/>
                <w:sz w:val="16"/>
                <w:szCs w:val="16"/>
                <w:lang w:eastAsia="da-DK"/>
              </w:rPr>
              <w:t>-414</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807480" w:rsidRDefault="00DF44A2" w:rsidP="00DF44A2">
            <w:pPr>
              <w:spacing w:after="0"/>
              <w:jc w:val="right"/>
              <w:rPr>
                <w:rFonts w:eastAsia="Times New Roman" w:cs="Arial"/>
                <w:b/>
                <w:color w:val="000000"/>
                <w:sz w:val="16"/>
                <w:szCs w:val="16"/>
                <w:lang w:eastAsia="da-DK"/>
              </w:rPr>
            </w:pPr>
            <w:r w:rsidRPr="00807480">
              <w:rPr>
                <w:rFonts w:eastAsia="Times New Roman" w:cs="Arial"/>
                <w:b/>
                <w:color w:val="000000"/>
                <w:sz w:val="16"/>
                <w:szCs w:val="16"/>
                <w:lang w:eastAsia="da-DK"/>
              </w:rPr>
              <w:t>414</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22 Forskydninger i likvide aktiver</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2</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-2</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28 Forskydninger i kortfristede tilgodehavender i øvrigt</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-8</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8</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52 Forskydninger i kortfristet gæld i øvrigt</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b/>
                <w:bCs/>
                <w:color w:val="000000"/>
                <w:sz w:val="16"/>
                <w:szCs w:val="16"/>
                <w:lang w:eastAsia="da-DK"/>
              </w:rPr>
            </w:pPr>
            <w:r w:rsidRPr="00AC4255">
              <w:rPr>
                <w:rFonts w:eastAsia="Times New Roman" w:cs="Arial"/>
                <w:b/>
                <w:bCs/>
                <w:color w:val="000000"/>
                <w:sz w:val="16"/>
                <w:szCs w:val="16"/>
                <w:lang w:eastAsia="da-DK"/>
              </w:rPr>
              <w:t> </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-408</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408</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100" w:firstLine="160"/>
              <w:rPr>
                <w:rFonts w:eastAsia="Times New Roman" w:cs="Arial"/>
                <w:b/>
                <w:bCs/>
                <w:color w:val="000000"/>
                <w:sz w:val="16"/>
                <w:szCs w:val="16"/>
                <w:lang w:eastAsia="da-DK"/>
              </w:rPr>
            </w:pPr>
            <w:r w:rsidRPr="00AC4255">
              <w:rPr>
                <w:rFonts w:eastAsia="Times New Roman" w:cs="Arial"/>
                <w:b/>
                <w:bCs/>
                <w:color w:val="000000"/>
                <w:sz w:val="16"/>
                <w:szCs w:val="16"/>
                <w:lang w:eastAsia="da-DK"/>
              </w:rPr>
              <w:t>9 Social- og Sundhedsudvalget</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b/>
                <w:bCs/>
                <w:color w:val="000000"/>
                <w:sz w:val="16"/>
                <w:szCs w:val="16"/>
                <w:lang w:eastAsia="da-DK"/>
              </w:rPr>
            </w:pPr>
            <w:r w:rsidRPr="00AC4255">
              <w:rPr>
                <w:rFonts w:eastAsia="Times New Roman" w:cs="Arial"/>
                <w:b/>
                <w:bCs/>
                <w:color w:val="000000"/>
                <w:sz w:val="16"/>
                <w:szCs w:val="16"/>
                <w:lang w:eastAsia="da-DK"/>
              </w:rPr>
              <w:t>948</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b/>
                <w:bCs/>
                <w:color w:val="000000"/>
                <w:sz w:val="16"/>
                <w:szCs w:val="16"/>
                <w:lang w:eastAsia="da-DK"/>
              </w:rPr>
            </w:pPr>
            <w:r w:rsidRPr="00AC4255">
              <w:rPr>
                <w:rFonts w:eastAsia="Times New Roman" w:cs="Arial"/>
                <w:b/>
                <w:bCs/>
                <w:color w:val="000000"/>
                <w:sz w:val="16"/>
                <w:szCs w:val="16"/>
                <w:lang w:eastAsia="da-DK"/>
              </w:rPr>
              <w:t>-1.025</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b/>
                <w:bCs/>
                <w:color w:val="000000"/>
                <w:sz w:val="16"/>
                <w:szCs w:val="16"/>
                <w:lang w:eastAsia="da-DK"/>
              </w:rPr>
            </w:pPr>
            <w:r w:rsidRPr="00AC4255">
              <w:rPr>
                <w:rFonts w:eastAsia="Times New Roman" w:cs="Arial"/>
                <w:b/>
                <w:bCs/>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807480" w:rsidP="00DF44A2">
            <w:pPr>
              <w:spacing w:after="0"/>
              <w:jc w:val="right"/>
              <w:rPr>
                <w:rFonts w:eastAsia="Times New Roman" w:cs="Arial"/>
                <w:b/>
                <w:bCs/>
                <w:color w:val="000000"/>
                <w:sz w:val="16"/>
                <w:szCs w:val="16"/>
                <w:lang w:eastAsia="da-DK"/>
              </w:rPr>
            </w:pPr>
            <w:r>
              <w:rPr>
                <w:rFonts w:eastAsia="Times New Roman" w:cs="Arial"/>
                <w:b/>
                <w:bCs/>
                <w:color w:val="000000"/>
                <w:sz w:val="16"/>
                <w:szCs w:val="16"/>
                <w:lang w:eastAsia="da-DK"/>
              </w:rPr>
              <w:t>-1.025</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b/>
                <w:bCs/>
                <w:color w:val="000000"/>
                <w:sz w:val="16"/>
                <w:szCs w:val="16"/>
                <w:lang w:eastAsia="da-DK"/>
              </w:rPr>
            </w:pPr>
            <w:r w:rsidRPr="00AC4255">
              <w:rPr>
                <w:rFonts w:eastAsia="Times New Roman" w:cs="Arial"/>
                <w:b/>
                <w:bCs/>
                <w:color w:val="000000"/>
                <w:sz w:val="16"/>
                <w:szCs w:val="16"/>
                <w:lang w:eastAsia="da-DK"/>
              </w:rPr>
              <w:t>-1.028</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27760C" w:rsidRDefault="0027760C" w:rsidP="00DF44A2">
            <w:pPr>
              <w:spacing w:after="0"/>
              <w:jc w:val="right"/>
              <w:rPr>
                <w:rFonts w:eastAsia="Times New Roman" w:cs="Arial"/>
                <w:b/>
                <w:color w:val="000000"/>
                <w:sz w:val="16"/>
                <w:szCs w:val="16"/>
                <w:lang w:eastAsia="da-DK"/>
              </w:rPr>
            </w:pPr>
            <w:r w:rsidRPr="0027760C">
              <w:rPr>
                <w:rFonts w:eastAsia="Times New Roman" w:cs="Arial"/>
                <w:b/>
                <w:color w:val="000000"/>
                <w:sz w:val="16"/>
                <w:szCs w:val="16"/>
                <w:lang w:eastAsia="da-DK"/>
              </w:rPr>
              <w:t>-3</w:t>
            </w:r>
          </w:p>
        </w:tc>
      </w:tr>
      <w:tr w:rsidR="00DF44A2" w:rsidRPr="00AC4255" w:rsidTr="0023573A">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200" w:firstLine="320"/>
              <w:rPr>
                <w:rFonts w:eastAsia="Times New Roman" w:cs="Arial"/>
                <w:color w:val="000000"/>
                <w:sz w:val="16"/>
                <w:szCs w:val="16"/>
                <w:lang w:eastAsia="da-DK"/>
              </w:rPr>
            </w:pPr>
            <w:r w:rsidRPr="00AC4255">
              <w:rPr>
                <w:rFonts w:eastAsia="Times New Roman" w:cs="Arial"/>
                <w:color w:val="000000"/>
                <w:sz w:val="16"/>
                <w:szCs w:val="16"/>
                <w:lang w:eastAsia="da-DK"/>
              </w:rPr>
              <w:t>08 Balanceforskydninger</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948</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23573A">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 </w:t>
            </w:r>
            <w:r w:rsidR="0027760C">
              <w:rPr>
                <w:rFonts w:eastAsia="Times New Roman" w:cs="Arial"/>
                <w:color w:val="000000"/>
                <w:sz w:val="16"/>
                <w:szCs w:val="16"/>
                <w:lang w:eastAsia="da-DK"/>
              </w:rPr>
              <w:t>-1.025</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-1.028</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23573A" w:rsidP="00DF44A2">
            <w:pPr>
              <w:spacing w:after="0"/>
              <w:jc w:val="right"/>
              <w:rPr>
                <w:rFonts w:eastAsia="Times New Roman" w:cs="Arial"/>
                <w:color w:val="000000"/>
                <w:sz w:val="16"/>
                <w:szCs w:val="16"/>
                <w:lang w:eastAsia="da-DK"/>
              </w:rPr>
            </w:pPr>
            <w:r>
              <w:rPr>
                <w:rFonts w:eastAsia="Times New Roman" w:cs="Arial"/>
                <w:color w:val="000000"/>
                <w:sz w:val="16"/>
                <w:szCs w:val="16"/>
                <w:lang w:eastAsia="da-DK"/>
              </w:rPr>
              <w:t>-3</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22 Forskydninger i likvide aktiver</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129</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30</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-30</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32 Forskydninger i langfristede tilgodehavender</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120</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35</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35</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355</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-320</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38 Forskydninger i aktiver vedrørende beløb til opkrævning eller udbetaling for andre</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-3</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-10</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10</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42 Forskydninger i aktiver tilhørende fonds, legater m.v.</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162</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47</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-47</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45 Forskydninger i passiver tilhørende fonds, legater m.v.</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-165</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-45</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45</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48 Forskydninger i passiver vedrørende beløb til opkrævning eller udbetaling for andre</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51 Forskydninger i kortfristet gæld til staten</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-30</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-30</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-335</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305</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F44A2" w:rsidRPr="00AC4255" w:rsidRDefault="00DF44A2" w:rsidP="00DF44A2">
            <w:pPr>
              <w:spacing w:after="0"/>
              <w:ind w:firstLineChars="300" w:firstLine="480"/>
              <w:rPr>
                <w:rFonts w:eastAsia="Times New Roman" w:cs="Arial"/>
                <w:color w:val="000000"/>
                <w:sz w:val="16"/>
                <w:szCs w:val="16"/>
                <w:lang w:eastAsia="da-DK"/>
              </w:rPr>
            </w:pPr>
            <w:r w:rsidRPr="00AC4255">
              <w:rPr>
                <w:rFonts w:eastAsia="Times New Roman" w:cs="Arial"/>
                <w:color w:val="000000"/>
                <w:sz w:val="16"/>
                <w:szCs w:val="16"/>
                <w:lang w:eastAsia="da-DK"/>
              </w:rPr>
              <w:t>52 Forskydninger i kortfristet gæld i øvrigt</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704</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-1.030</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rPr>
                <w:rFonts w:eastAsia="Times New Roman" w:cs="Arial"/>
                <w:color w:val="000000"/>
                <w:sz w:val="16"/>
                <w:szCs w:val="16"/>
                <w:lang w:eastAsia="da-DK"/>
              </w:rPr>
            </w:pPr>
            <w:r w:rsidRPr="00AC4255">
              <w:rPr>
                <w:rFonts w:eastAsia="Times New Roman" w:cs="Arial"/>
                <w:color w:val="000000"/>
                <w:sz w:val="16"/>
                <w:szCs w:val="16"/>
                <w:lang w:eastAsia="da-DK"/>
              </w:rPr>
              <w:t> </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-1.030</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-1.071</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color w:val="000000"/>
                <w:sz w:val="16"/>
                <w:szCs w:val="16"/>
                <w:lang w:eastAsia="da-DK"/>
              </w:rPr>
            </w:pPr>
            <w:r w:rsidRPr="00AC4255">
              <w:rPr>
                <w:rFonts w:eastAsia="Times New Roman" w:cs="Arial"/>
                <w:color w:val="000000"/>
                <w:sz w:val="16"/>
                <w:szCs w:val="16"/>
                <w:lang w:eastAsia="da-DK"/>
              </w:rPr>
              <w:t>41</w:t>
            </w:r>
          </w:p>
        </w:tc>
      </w:tr>
      <w:tr w:rsidR="00DF44A2" w:rsidRPr="00AC4255" w:rsidTr="009D0393">
        <w:trPr>
          <w:trHeight w:val="3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F44A2" w:rsidRPr="00AC4255" w:rsidRDefault="00DF44A2" w:rsidP="00DF44A2">
            <w:pPr>
              <w:spacing w:after="0"/>
              <w:rPr>
                <w:rFonts w:eastAsia="Times New Roman" w:cs="Arial"/>
                <w:b/>
                <w:bCs/>
                <w:sz w:val="16"/>
                <w:szCs w:val="16"/>
                <w:lang w:eastAsia="da-DK"/>
              </w:rPr>
            </w:pPr>
            <w:r w:rsidRPr="00AC4255">
              <w:rPr>
                <w:rFonts w:eastAsia="Times New Roman" w:cs="Arial"/>
                <w:b/>
                <w:bCs/>
                <w:sz w:val="16"/>
                <w:szCs w:val="16"/>
                <w:lang w:eastAsia="da-DK"/>
              </w:rPr>
              <w:t>I alt</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b/>
                <w:bCs/>
                <w:color w:val="000000"/>
                <w:sz w:val="16"/>
                <w:szCs w:val="16"/>
                <w:lang w:eastAsia="da-DK"/>
              </w:rPr>
            </w:pPr>
            <w:r w:rsidRPr="00AC4255">
              <w:rPr>
                <w:rFonts w:eastAsia="Times New Roman" w:cs="Arial"/>
                <w:b/>
                <w:bCs/>
                <w:color w:val="000000"/>
                <w:sz w:val="16"/>
                <w:szCs w:val="16"/>
                <w:lang w:eastAsia="da-DK"/>
              </w:rPr>
              <w:t>1.498</w:t>
            </w:r>
          </w:p>
        </w:tc>
        <w:tc>
          <w:tcPr>
            <w:tcW w:w="851"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b/>
                <w:bCs/>
                <w:color w:val="000000"/>
                <w:sz w:val="16"/>
                <w:szCs w:val="16"/>
                <w:lang w:eastAsia="da-DK"/>
              </w:rPr>
            </w:pPr>
            <w:r w:rsidRPr="00AC4255">
              <w:rPr>
                <w:rFonts w:eastAsia="Times New Roman" w:cs="Arial"/>
                <w:b/>
                <w:bCs/>
                <w:color w:val="000000"/>
                <w:sz w:val="16"/>
                <w:szCs w:val="16"/>
                <w:lang w:eastAsia="da-DK"/>
              </w:rPr>
              <w:t>-106.514</w:t>
            </w:r>
          </w:p>
        </w:tc>
        <w:tc>
          <w:tcPr>
            <w:tcW w:w="709" w:type="dxa"/>
            <w:tcBorders>
              <w:top w:val="nil"/>
              <w:left w:val="nil"/>
              <w:bottom w:val="single" w:sz="4" w:space="0" w:color="auto"/>
              <w:right w:val="single" w:sz="4" w:space="0" w:color="auto"/>
            </w:tcBorders>
            <w:shd w:val="clear" w:color="auto" w:fill="auto"/>
            <w:noWrap/>
            <w:vAlign w:val="bottom"/>
            <w:hideMark/>
          </w:tcPr>
          <w:p w:rsidR="00DF44A2" w:rsidRPr="00AC4255" w:rsidRDefault="00DF44A2" w:rsidP="00DF44A2">
            <w:pPr>
              <w:spacing w:after="0"/>
              <w:jc w:val="right"/>
              <w:rPr>
                <w:rFonts w:eastAsia="Times New Roman" w:cs="Arial"/>
                <w:b/>
                <w:bCs/>
                <w:color w:val="000000"/>
                <w:sz w:val="16"/>
                <w:szCs w:val="16"/>
                <w:lang w:eastAsia="da-DK"/>
              </w:rPr>
            </w:pPr>
            <w:r w:rsidRPr="00AC4255">
              <w:rPr>
                <w:rFonts w:eastAsia="Times New Roman" w:cs="Arial"/>
                <w:b/>
                <w:bCs/>
                <w:color w:val="000000"/>
                <w:sz w:val="16"/>
                <w:szCs w:val="16"/>
                <w:lang w:eastAsia="da-DK"/>
              </w:rPr>
              <w:t>1.550</w:t>
            </w:r>
          </w:p>
        </w:tc>
        <w:tc>
          <w:tcPr>
            <w:tcW w:w="850" w:type="dxa"/>
            <w:tcBorders>
              <w:top w:val="nil"/>
              <w:left w:val="nil"/>
              <w:bottom w:val="single" w:sz="4" w:space="0" w:color="auto"/>
              <w:right w:val="single" w:sz="4" w:space="0" w:color="auto"/>
            </w:tcBorders>
            <w:shd w:val="clear" w:color="auto" w:fill="auto"/>
            <w:noWrap/>
            <w:vAlign w:val="bottom"/>
            <w:hideMark/>
          </w:tcPr>
          <w:p w:rsidR="00DF44A2" w:rsidRPr="00AC4255" w:rsidRDefault="00AD0048" w:rsidP="00DF44A2">
            <w:pPr>
              <w:spacing w:after="0"/>
              <w:jc w:val="right"/>
              <w:rPr>
                <w:rFonts w:eastAsia="Times New Roman" w:cs="Arial"/>
                <w:b/>
                <w:bCs/>
                <w:color w:val="000000"/>
                <w:sz w:val="16"/>
                <w:szCs w:val="16"/>
                <w:lang w:eastAsia="da-DK"/>
              </w:rPr>
            </w:pPr>
            <w:r>
              <w:rPr>
                <w:rFonts w:eastAsia="Times New Roman" w:cs="Arial"/>
                <w:b/>
                <w:bCs/>
                <w:color w:val="000000"/>
                <w:sz w:val="16"/>
                <w:szCs w:val="16"/>
                <w:lang w:eastAsia="da-DK"/>
              </w:rPr>
              <w:t>-104.964</w:t>
            </w:r>
          </w:p>
        </w:tc>
        <w:tc>
          <w:tcPr>
            <w:tcW w:w="992" w:type="dxa"/>
            <w:tcBorders>
              <w:top w:val="nil"/>
              <w:left w:val="nil"/>
              <w:bottom w:val="single" w:sz="4" w:space="0" w:color="auto"/>
              <w:right w:val="single" w:sz="4" w:space="0" w:color="auto"/>
            </w:tcBorders>
            <w:shd w:val="clear" w:color="auto" w:fill="auto"/>
            <w:noWrap/>
            <w:vAlign w:val="bottom"/>
            <w:hideMark/>
          </w:tcPr>
          <w:p w:rsidR="00DF44A2" w:rsidRPr="00AC4255" w:rsidRDefault="001D3A38" w:rsidP="00DF44A2">
            <w:pPr>
              <w:spacing w:after="0"/>
              <w:jc w:val="right"/>
              <w:rPr>
                <w:rFonts w:eastAsia="Times New Roman" w:cs="Arial"/>
                <w:b/>
                <w:bCs/>
                <w:color w:val="000000"/>
                <w:sz w:val="16"/>
                <w:szCs w:val="16"/>
                <w:lang w:eastAsia="da-DK"/>
              </w:rPr>
            </w:pPr>
            <w:r>
              <w:rPr>
                <w:rFonts w:eastAsia="Times New Roman" w:cs="Arial"/>
                <w:b/>
                <w:bCs/>
                <w:color w:val="000000"/>
                <w:sz w:val="16"/>
                <w:szCs w:val="16"/>
                <w:lang w:eastAsia="da-DK"/>
              </w:rPr>
              <w:t>-155.129</w:t>
            </w:r>
          </w:p>
        </w:tc>
        <w:tc>
          <w:tcPr>
            <w:tcW w:w="822" w:type="dxa"/>
            <w:tcBorders>
              <w:top w:val="nil"/>
              <w:left w:val="nil"/>
              <w:bottom w:val="single" w:sz="4" w:space="0" w:color="auto"/>
              <w:right w:val="single" w:sz="4" w:space="0" w:color="auto"/>
            </w:tcBorders>
            <w:shd w:val="clear" w:color="auto" w:fill="auto"/>
            <w:noWrap/>
            <w:vAlign w:val="bottom"/>
            <w:hideMark/>
          </w:tcPr>
          <w:p w:rsidR="00DF44A2" w:rsidRPr="00AC4255" w:rsidRDefault="001D3A38" w:rsidP="00DF44A2">
            <w:pPr>
              <w:spacing w:after="0"/>
              <w:jc w:val="right"/>
              <w:rPr>
                <w:rFonts w:eastAsia="Times New Roman" w:cs="Arial"/>
                <w:b/>
                <w:bCs/>
                <w:color w:val="000000"/>
                <w:sz w:val="16"/>
                <w:szCs w:val="16"/>
                <w:lang w:eastAsia="da-DK"/>
              </w:rPr>
            </w:pPr>
            <w:r>
              <w:rPr>
                <w:rFonts w:eastAsia="Times New Roman" w:cs="Arial"/>
                <w:b/>
                <w:bCs/>
                <w:color w:val="000000"/>
                <w:sz w:val="16"/>
                <w:szCs w:val="16"/>
                <w:lang w:eastAsia="da-DK"/>
              </w:rPr>
              <w:t>50.165</w:t>
            </w:r>
          </w:p>
        </w:tc>
      </w:tr>
    </w:tbl>
    <w:p w:rsidR="00A2010D" w:rsidRDefault="00A2010D" w:rsidP="006427CA">
      <w:pPr>
        <w:spacing w:after="0"/>
      </w:pPr>
    </w:p>
    <w:p w:rsidR="002C3067" w:rsidRDefault="001E3CD2" w:rsidP="006427CA">
      <w:pPr>
        <w:rPr>
          <w:sz w:val="16"/>
        </w:rPr>
      </w:pPr>
      <w:r>
        <w:rPr>
          <w:sz w:val="16"/>
        </w:rPr>
        <w:t>Anm.: 2018</w:t>
      </w:r>
      <w:r w:rsidR="006427CA">
        <w:rPr>
          <w:sz w:val="16"/>
        </w:rPr>
        <w:t>-2</w:t>
      </w:r>
      <w:r>
        <w:rPr>
          <w:sz w:val="16"/>
        </w:rPr>
        <w:t>019</w:t>
      </w:r>
      <w:r w:rsidR="006427CA">
        <w:rPr>
          <w:sz w:val="16"/>
        </w:rPr>
        <w:t xml:space="preserve"> i årets PL.</w:t>
      </w:r>
    </w:p>
    <w:p w:rsidR="002C3067" w:rsidRPr="003278D6" w:rsidRDefault="002C3067" w:rsidP="006427CA">
      <w:pPr>
        <w:rPr>
          <w:sz w:val="16"/>
        </w:rPr>
      </w:pPr>
    </w:p>
    <w:p w:rsidR="006427CA" w:rsidRPr="00E44A33" w:rsidRDefault="006427CA" w:rsidP="006427CA">
      <w:pPr>
        <w:pStyle w:val="Overskrift2"/>
        <w:spacing w:before="0"/>
        <w:rPr>
          <w:rFonts w:cs="Arial"/>
        </w:rPr>
      </w:pPr>
      <w:bookmarkStart w:id="11" w:name="_Toc2932288"/>
      <w:r w:rsidRPr="00E44A33">
        <w:rPr>
          <w:rFonts w:cs="Arial"/>
        </w:rPr>
        <w:t>Årets væsentligste afvigelser og udfordringer</w:t>
      </w:r>
      <w:bookmarkEnd w:id="11"/>
      <w:r w:rsidRPr="00E44A33">
        <w:rPr>
          <w:rFonts w:cs="Arial"/>
        </w:rPr>
        <w:t xml:space="preserve"> </w:t>
      </w:r>
    </w:p>
    <w:p w:rsidR="00B96276" w:rsidRPr="003956FA" w:rsidRDefault="00E44A33" w:rsidP="009D0393">
      <w:pPr>
        <w:pStyle w:val="Listeafsnit"/>
        <w:numPr>
          <w:ilvl w:val="0"/>
          <w:numId w:val="14"/>
        </w:numPr>
        <w:spacing w:after="0"/>
        <w:jc w:val="both"/>
        <w:rPr>
          <w:rFonts w:cs="Arial"/>
          <w:szCs w:val="20"/>
        </w:rPr>
      </w:pPr>
      <w:r w:rsidRPr="005A6886">
        <w:rPr>
          <w:rFonts w:cs="Arial"/>
          <w:szCs w:val="20"/>
        </w:rPr>
        <w:t>Der var oprindelig budgetteret m</w:t>
      </w:r>
      <w:r w:rsidR="00A21F82" w:rsidRPr="005A6886">
        <w:rPr>
          <w:rFonts w:cs="Arial"/>
          <w:szCs w:val="20"/>
        </w:rPr>
        <w:t xml:space="preserve">ed balanceforskydninger på -106 </w:t>
      </w:r>
      <w:r w:rsidRPr="005A6886">
        <w:rPr>
          <w:rFonts w:cs="Arial"/>
          <w:szCs w:val="20"/>
        </w:rPr>
        <w:t>mio. kr. Der er i årets løb givet beskedne tillægsbevillinger på i</w:t>
      </w:r>
      <w:r w:rsidR="00A21F82" w:rsidRPr="00960E28">
        <w:rPr>
          <w:rFonts w:cs="Arial"/>
          <w:szCs w:val="20"/>
        </w:rPr>
        <w:t xml:space="preserve"> alt 1,5</w:t>
      </w:r>
      <w:r w:rsidR="00B96276" w:rsidRPr="00960E28">
        <w:rPr>
          <w:rFonts w:cs="Arial"/>
          <w:szCs w:val="20"/>
        </w:rPr>
        <w:t xml:space="preserve"> mio. kr., som</w:t>
      </w:r>
      <w:r w:rsidRPr="00960E28">
        <w:rPr>
          <w:rFonts w:cs="Arial"/>
          <w:szCs w:val="20"/>
        </w:rPr>
        <w:t xml:space="preserve"> giv</w:t>
      </w:r>
      <w:r w:rsidR="00A21F82" w:rsidRPr="00960E28">
        <w:rPr>
          <w:rFonts w:cs="Arial"/>
          <w:szCs w:val="20"/>
        </w:rPr>
        <w:t>er et korrigeret budget på</w:t>
      </w:r>
      <w:r w:rsidR="0023573A">
        <w:rPr>
          <w:rFonts w:cs="Arial"/>
          <w:szCs w:val="20"/>
        </w:rPr>
        <w:t xml:space="preserve"> ca</w:t>
      </w:r>
      <w:r w:rsidR="001D3A38">
        <w:rPr>
          <w:rFonts w:cs="Arial"/>
          <w:szCs w:val="20"/>
        </w:rPr>
        <w:t>.</w:t>
      </w:r>
      <w:r w:rsidR="00A21F82" w:rsidRPr="00960E28">
        <w:rPr>
          <w:rFonts w:cs="Arial"/>
          <w:szCs w:val="20"/>
        </w:rPr>
        <w:t xml:space="preserve"> -105</w:t>
      </w:r>
      <w:r w:rsidRPr="00960E28">
        <w:rPr>
          <w:rFonts w:cs="Arial"/>
          <w:szCs w:val="20"/>
        </w:rPr>
        <w:t xml:space="preserve"> mio. k</w:t>
      </w:r>
      <w:r w:rsidR="00B96276" w:rsidRPr="00960E28">
        <w:rPr>
          <w:rFonts w:cs="Arial"/>
          <w:szCs w:val="20"/>
        </w:rPr>
        <w:t>r. Balanceforskydninger er forskyd</w:t>
      </w:r>
      <w:r w:rsidR="00B96276" w:rsidRPr="003956FA">
        <w:rPr>
          <w:rFonts w:cs="Arial"/>
          <w:szCs w:val="20"/>
        </w:rPr>
        <w:t>ninger på kommunens balance, dvs. forskydninger i bogførte aktiver og passiver.</w:t>
      </w:r>
    </w:p>
    <w:p w:rsidR="00A21F82" w:rsidRDefault="00A21F82" w:rsidP="006427CA">
      <w:pPr>
        <w:spacing w:after="0"/>
        <w:jc w:val="both"/>
        <w:rPr>
          <w:rFonts w:cs="Arial"/>
          <w:szCs w:val="20"/>
        </w:rPr>
      </w:pPr>
    </w:p>
    <w:p w:rsidR="00A21F82" w:rsidRPr="00960E28" w:rsidRDefault="00A21F82" w:rsidP="009D0393">
      <w:pPr>
        <w:pStyle w:val="Listeafsnit"/>
        <w:numPr>
          <w:ilvl w:val="0"/>
          <w:numId w:val="14"/>
        </w:numPr>
        <w:spacing w:after="0"/>
        <w:jc w:val="both"/>
        <w:rPr>
          <w:rFonts w:cs="Arial"/>
          <w:szCs w:val="20"/>
        </w:rPr>
      </w:pPr>
      <w:r w:rsidRPr="005A6886">
        <w:rPr>
          <w:rFonts w:cs="Arial"/>
          <w:szCs w:val="20"/>
        </w:rPr>
        <w:t xml:space="preserve">Ved årsskiftet har Brøndby Kommune skiftet økonomisystem. Dette har betydet, at de fakturaer/betalinger som er kommet fra medio december 2019 samt de faktura/betalinger der er kommet i supplementsperioden, har man kørt over 8.52 for at kunne føre pengene ud i driften. </w:t>
      </w:r>
    </w:p>
    <w:p w:rsidR="005A6886" w:rsidRDefault="005A6886" w:rsidP="006427CA">
      <w:pPr>
        <w:spacing w:after="0"/>
        <w:jc w:val="both"/>
        <w:rPr>
          <w:rFonts w:cs="Arial"/>
          <w:szCs w:val="20"/>
        </w:rPr>
      </w:pPr>
    </w:p>
    <w:p w:rsidR="0003190E" w:rsidRPr="003956FA" w:rsidRDefault="0003190E" w:rsidP="009D0393">
      <w:pPr>
        <w:pStyle w:val="Listeafsnit"/>
        <w:numPr>
          <w:ilvl w:val="0"/>
          <w:numId w:val="14"/>
        </w:numPr>
        <w:spacing w:after="0"/>
        <w:jc w:val="both"/>
        <w:rPr>
          <w:rFonts w:cs="Arial"/>
          <w:szCs w:val="20"/>
        </w:rPr>
      </w:pPr>
      <w:r w:rsidRPr="005A6886">
        <w:rPr>
          <w:rFonts w:cs="Arial"/>
          <w:szCs w:val="20"/>
        </w:rPr>
        <w:t>I forbindelse med nyt økonomisystem, er der blevet ryddet op i de interne fakturaer. Det</w:t>
      </w:r>
      <w:r w:rsidR="0089551C" w:rsidRPr="005A6886">
        <w:rPr>
          <w:rFonts w:cs="Arial"/>
          <w:szCs w:val="20"/>
        </w:rPr>
        <w:t xml:space="preserve"> kan man se på funktion 8.28, da</w:t>
      </w:r>
      <w:r w:rsidRPr="00960E28">
        <w:rPr>
          <w:rFonts w:cs="Arial"/>
          <w:szCs w:val="20"/>
        </w:rPr>
        <w:t xml:space="preserve"> posten er mindre end sidste år. Der er blevet afregnet en del tilgodehavender vedr. interne fakturaer</w:t>
      </w:r>
      <w:r w:rsidR="0089551C" w:rsidRPr="00960E28">
        <w:rPr>
          <w:rFonts w:cs="Arial"/>
          <w:szCs w:val="20"/>
        </w:rPr>
        <w:t>, sendt kreditnotaer for udligning</w:t>
      </w:r>
      <w:r w:rsidRPr="00960E28">
        <w:rPr>
          <w:rFonts w:cs="Arial"/>
          <w:szCs w:val="20"/>
        </w:rPr>
        <w:t xml:space="preserve">, </w:t>
      </w:r>
      <w:r w:rsidR="0089551C" w:rsidRPr="00960E28">
        <w:rPr>
          <w:rFonts w:cs="Arial"/>
          <w:szCs w:val="20"/>
        </w:rPr>
        <w:t>og nogen er blevet afskrevet. Der er afskrevet for ca. 35.000 kr. af Økonomiafdelingen.</w:t>
      </w:r>
    </w:p>
    <w:p w:rsidR="0089551C" w:rsidRDefault="0089551C" w:rsidP="006427CA">
      <w:pPr>
        <w:spacing w:after="0"/>
        <w:jc w:val="both"/>
        <w:rPr>
          <w:rFonts w:cs="Arial"/>
          <w:szCs w:val="20"/>
        </w:rPr>
      </w:pPr>
    </w:p>
    <w:p w:rsidR="0089551C" w:rsidRPr="00960E28" w:rsidRDefault="0089551C" w:rsidP="009D0393">
      <w:pPr>
        <w:pStyle w:val="Listeafsnit"/>
        <w:numPr>
          <w:ilvl w:val="0"/>
          <w:numId w:val="14"/>
        </w:numPr>
        <w:spacing w:after="0"/>
        <w:jc w:val="both"/>
        <w:rPr>
          <w:rFonts w:cs="Arial"/>
          <w:szCs w:val="20"/>
        </w:rPr>
      </w:pPr>
      <w:r w:rsidRPr="005A6886">
        <w:rPr>
          <w:rFonts w:cs="Arial"/>
          <w:szCs w:val="20"/>
        </w:rPr>
        <w:t xml:space="preserve">De langfristede tilgodehavende på funktion 8.32, er højere end i regnskab 2018. Dette skyldes, at Social- og Indenrigsministeriet har udmeldt, at indskud vedr. Letbanen ikke må optages på indre værdier 8.32.21, derfor er dette nulstillet over egenkapitalen i 2019. </w:t>
      </w:r>
    </w:p>
    <w:p w:rsidR="0003190E" w:rsidRDefault="0003190E" w:rsidP="006427CA">
      <w:pPr>
        <w:spacing w:after="0"/>
        <w:jc w:val="both"/>
        <w:rPr>
          <w:rFonts w:cs="Arial"/>
          <w:szCs w:val="20"/>
        </w:rPr>
      </w:pPr>
    </w:p>
    <w:p w:rsidR="00A21F82" w:rsidRPr="005A6886" w:rsidRDefault="00A21F82" w:rsidP="009D0393">
      <w:pPr>
        <w:pStyle w:val="Listeafsnit"/>
        <w:numPr>
          <w:ilvl w:val="0"/>
          <w:numId w:val="14"/>
        </w:numPr>
        <w:spacing w:after="0"/>
        <w:jc w:val="both"/>
        <w:rPr>
          <w:rFonts w:cs="Arial"/>
          <w:szCs w:val="20"/>
        </w:rPr>
      </w:pPr>
      <w:r w:rsidRPr="005A6886">
        <w:rPr>
          <w:rFonts w:cs="Arial"/>
          <w:szCs w:val="20"/>
        </w:rPr>
        <w:t>Der var i 2019 budgetteret med et kassetræk på 113 mio. kr., som endte med en afvigelse på -95 mio. kr. i forhold til regnskabsresultatet. Der var budgetteret til at bruge penge fra kassen til afdrage på gælden, men eftersom der var et stort mindreforbrug blev det kun et lille træk på kassen.</w:t>
      </w:r>
    </w:p>
    <w:p w:rsidR="00A21F82" w:rsidRDefault="00A21F82" w:rsidP="006427CA">
      <w:pPr>
        <w:spacing w:after="0"/>
        <w:jc w:val="both"/>
        <w:rPr>
          <w:rFonts w:cs="Arial"/>
          <w:szCs w:val="20"/>
        </w:rPr>
      </w:pPr>
    </w:p>
    <w:p w:rsidR="00E44A33" w:rsidRPr="005A6886" w:rsidRDefault="00B96276" w:rsidP="005A6886">
      <w:pPr>
        <w:spacing w:after="0"/>
        <w:jc w:val="both"/>
        <w:rPr>
          <w:rFonts w:cs="Arial"/>
          <w:szCs w:val="20"/>
        </w:rPr>
      </w:pPr>
      <w:r w:rsidRPr="005A6886">
        <w:rPr>
          <w:rFonts w:cs="Arial"/>
          <w:szCs w:val="20"/>
        </w:rPr>
        <w:t>Når balanceforskydninger ender med et negativt tal, betyder det eksempelvis at man har vækst i kortfristede forpligtelser, som kan være træk på kassekreditten</w:t>
      </w:r>
      <w:r w:rsidR="005A6886">
        <w:rPr>
          <w:rFonts w:cs="Arial"/>
          <w:szCs w:val="20"/>
        </w:rPr>
        <w:t xml:space="preserve">. </w:t>
      </w:r>
      <w:r w:rsidR="0094752D" w:rsidRPr="005A6886">
        <w:rPr>
          <w:rFonts w:cs="Arial"/>
          <w:szCs w:val="20"/>
        </w:rPr>
        <w:t xml:space="preserve">Hvis balanceforskydningerne ender med et positivt tal kan det betyde, at kassebeholdningen eksempelvis er øget. </w:t>
      </w:r>
    </w:p>
    <w:p w:rsidR="0094752D" w:rsidRDefault="0094752D" w:rsidP="006427CA">
      <w:pPr>
        <w:spacing w:after="0"/>
        <w:jc w:val="both"/>
        <w:rPr>
          <w:rFonts w:cs="Arial"/>
          <w:szCs w:val="20"/>
        </w:rPr>
      </w:pPr>
    </w:p>
    <w:p w:rsidR="00E60DFE" w:rsidRDefault="00E60DFE" w:rsidP="006427CA">
      <w:pPr>
        <w:pStyle w:val="Overskrift1"/>
        <w:rPr>
          <w:rFonts w:cs="Arial"/>
        </w:rPr>
      </w:pPr>
      <w:bookmarkStart w:id="12" w:name="_Toc2932289"/>
    </w:p>
    <w:p w:rsidR="00E60DFE" w:rsidRDefault="00E60DFE">
      <w:pPr>
        <w:spacing w:line="276" w:lineRule="auto"/>
        <w:rPr>
          <w:rFonts w:eastAsiaTheme="majorEastAsia" w:cs="Arial"/>
          <w:b/>
          <w:bCs/>
          <w:sz w:val="28"/>
          <w:szCs w:val="28"/>
        </w:rPr>
      </w:pPr>
      <w:r>
        <w:rPr>
          <w:rFonts w:cs="Arial"/>
        </w:rPr>
        <w:br w:type="page"/>
      </w:r>
    </w:p>
    <w:p w:rsidR="006427CA" w:rsidRPr="00983DF0" w:rsidRDefault="006427CA" w:rsidP="006427CA">
      <w:pPr>
        <w:pStyle w:val="Overskrift1"/>
        <w:rPr>
          <w:rFonts w:cs="Arial"/>
        </w:rPr>
      </w:pPr>
      <w:r>
        <w:rPr>
          <w:rFonts w:cs="Arial"/>
        </w:rPr>
        <w:t>Afdrag på lån og leasingforpligtelser</w:t>
      </w:r>
      <w:bookmarkEnd w:id="12"/>
    </w:p>
    <w:p w:rsidR="006427CA" w:rsidRDefault="006427CA" w:rsidP="006427CA">
      <w:pPr>
        <w:pStyle w:val="Overskrift2"/>
        <w:rPr>
          <w:rFonts w:cs="Arial"/>
        </w:rPr>
      </w:pPr>
      <w:bookmarkStart w:id="13" w:name="_Toc2932290"/>
      <w:r w:rsidRPr="00983DF0">
        <w:rPr>
          <w:rFonts w:cs="Arial"/>
        </w:rPr>
        <w:t>Økonomisk oversigt</w:t>
      </w:r>
      <w:bookmarkEnd w:id="13"/>
    </w:p>
    <w:p w:rsidR="006427CA" w:rsidRPr="00272BEB" w:rsidRDefault="006427CA" w:rsidP="006427CA">
      <w:r w:rsidRPr="00272BEB">
        <w:t xml:space="preserve">Tabellen nedenfor viser </w:t>
      </w:r>
      <w:r>
        <w:t>budget og regnskab for afdrag på lån og leasingforpligtelser inddelt på politisk udvalg og funktion.</w:t>
      </w:r>
    </w:p>
    <w:p w:rsidR="006427CA" w:rsidRDefault="006427CA" w:rsidP="006427CA">
      <w:pPr>
        <w:spacing w:after="0"/>
      </w:pPr>
      <w:r>
        <w:t xml:space="preserve">Tabel </w:t>
      </w:r>
      <w:r w:rsidR="004614B2">
        <w:t>4</w:t>
      </w:r>
      <w:r>
        <w:t>. Afdrag på lån og leasingforpligtelser – pr. politisk udvalg og funktion.</w:t>
      </w:r>
    </w:p>
    <w:tbl>
      <w:tblPr>
        <w:tblW w:w="5000" w:type="pct"/>
        <w:tblCellMar>
          <w:left w:w="70" w:type="dxa"/>
          <w:right w:w="70" w:type="dxa"/>
        </w:tblCellMar>
        <w:tblLook w:val="04A0" w:firstRow="1" w:lastRow="0" w:firstColumn="1" w:lastColumn="0" w:noHBand="0" w:noVBand="1"/>
      </w:tblPr>
      <w:tblGrid>
        <w:gridCol w:w="3700"/>
        <w:gridCol w:w="1071"/>
        <w:gridCol w:w="1071"/>
        <w:gridCol w:w="1401"/>
        <w:gridCol w:w="1071"/>
        <w:gridCol w:w="1071"/>
        <w:gridCol w:w="1071"/>
      </w:tblGrid>
      <w:tr w:rsidR="004C6E76" w:rsidRPr="004C6E76" w:rsidTr="00356859">
        <w:trPr>
          <w:trHeight w:val="675"/>
        </w:trPr>
        <w:tc>
          <w:tcPr>
            <w:tcW w:w="1769" w:type="pct"/>
            <w:tcBorders>
              <w:top w:val="single" w:sz="4" w:space="0" w:color="auto"/>
              <w:left w:val="single" w:sz="4" w:space="0" w:color="auto"/>
              <w:bottom w:val="single" w:sz="4" w:space="0" w:color="auto"/>
              <w:right w:val="single" w:sz="4" w:space="0" w:color="auto"/>
            </w:tcBorders>
            <w:shd w:val="clear" w:color="000000" w:fill="C5D9F1"/>
            <w:vAlign w:val="center"/>
            <w:hideMark/>
          </w:tcPr>
          <w:p w:rsidR="004C6E76" w:rsidRPr="004C6E76" w:rsidRDefault="004C6E76" w:rsidP="004C6E76">
            <w:pPr>
              <w:spacing w:after="0"/>
              <w:rPr>
                <w:rFonts w:eastAsia="Times New Roman" w:cs="Arial"/>
                <w:b/>
                <w:bCs/>
                <w:sz w:val="16"/>
                <w:szCs w:val="16"/>
                <w:lang w:eastAsia="da-DK"/>
              </w:rPr>
            </w:pPr>
            <w:r w:rsidRPr="004C6E76">
              <w:rPr>
                <w:rFonts w:eastAsia="Times New Roman" w:cs="Arial"/>
                <w:b/>
                <w:bCs/>
                <w:sz w:val="16"/>
                <w:szCs w:val="16"/>
                <w:lang w:eastAsia="da-DK"/>
              </w:rPr>
              <w:t xml:space="preserve">Samtlige udvalg - Afdrag på lån og leasingforpligtelser - I 1.000 kr.                                       </w:t>
            </w:r>
          </w:p>
        </w:tc>
        <w:tc>
          <w:tcPr>
            <w:tcW w:w="512" w:type="pct"/>
            <w:tcBorders>
              <w:top w:val="single" w:sz="4" w:space="0" w:color="auto"/>
              <w:left w:val="nil"/>
              <w:bottom w:val="single" w:sz="4" w:space="0" w:color="auto"/>
              <w:right w:val="single" w:sz="4" w:space="0" w:color="auto"/>
            </w:tcBorders>
            <w:shd w:val="clear" w:color="000000" w:fill="C5D9F1"/>
            <w:vAlign w:val="center"/>
            <w:hideMark/>
          </w:tcPr>
          <w:p w:rsidR="004C6E76" w:rsidRPr="004C6E76" w:rsidRDefault="006B0763" w:rsidP="004C6E76">
            <w:pPr>
              <w:spacing w:after="0"/>
              <w:jc w:val="center"/>
              <w:rPr>
                <w:rFonts w:eastAsia="Times New Roman" w:cs="Arial"/>
                <w:b/>
                <w:bCs/>
                <w:sz w:val="16"/>
                <w:szCs w:val="16"/>
                <w:lang w:eastAsia="da-DK"/>
              </w:rPr>
            </w:pPr>
            <w:r>
              <w:rPr>
                <w:rFonts w:eastAsia="Times New Roman" w:cs="Arial"/>
                <w:b/>
                <w:bCs/>
                <w:sz w:val="16"/>
                <w:szCs w:val="16"/>
                <w:lang w:eastAsia="da-DK"/>
              </w:rPr>
              <w:t>Regnskab 2018</w:t>
            </w:r>
          </w:p>
        </w:tc>
        <w:tc>
          <w:tcPr>
            <w:tcW w:w="512" w:type="pct"/>
            <w:tcBorders>
              <w:top w:val="single" w:sz="4" w:space="0" w:color="auto"/>
              <w:left w:val="nil"/>
              <w:bottom w:val="single" w:sz="4" w:space="0" w:color="auto"/>
              <w:right w:val="single" w:sz="4" w:space="0" w:color="auto"/>
            </w:tcBorders>
            <w:shd w:val="clear" w:color="000000" w:fill="C5D9F1"/>
            <w:vAlign w:val="center"/>
            <w:hideMark/>
          </w:tcPr>
          <w:p w:rsidR="004C6E76" w:rsidRPr="004C6E76" w:rsidRDefault="006B0763" w:rsidP="004C6E76">
            <w:pPr>
              <w:spacing w:after="0"/>
              <w:jc w:val="center"/>
              <w:rPr>
                <w:rFonts w:eastAsia="Times New Roman" w:cs="Arial"/>
                <w:b/>
                <w:bCs/>
                <w:sz w:val="16"/>
                <w:szCs w:val="16"/>
                <w:lang w:eastAsia="da-DK"/>
              </w:rPr>
            </w:pPr>
            <w:r>
              <w:rPr>
                <w:rFonts w:eastAsia="Times New Roman" w:cs="Arial"/>
                <w:b/>
                <w:bCs/>
                <w:sz w:val="16"/>
                <w:szCs w:val="16"/>
                <w:lang w:eastAsia="da-DK"/>
              </w:rPr>
              <w:t>Opr. v. Budget 2019</w:t>
            </w:r>
          </w:p>
        </w:tc>
        <w:tc>
          <w:tcPr>
            <w:tcW w:w="670" w:type="pct"/>
            <w:tcBorders>
              <w:top w:val="single" w:sz="4" w:space="0" w:color="auto"/>
              <w:left w:val="nil"/>
              <w:bottom w:val="single" w:sz="4" w:space="0" w:color="auto"/>
              <w:right w:val="single" w:sz="4" w:space="0" w:color="auto"/>
            </w:tcBorders>
            <w:shd w:val="clear" w:color="000000" w:fill="C5D9F1"/>
            <w:vAlign w:val="center"/>
            <w:hideMark/>
          </w:tcPr>
          <w:p w:rsidR="004C6E76" w:rsidRPr="004C6E76" w:rsidRDefault="004C6E76" w:rsidP="004C6E76">
            <w:pPr>
              <w:spacing w:after="0"/>
              <w:jc w:val="center"/>
              <w:rPr>
                <w:rFonts w:eastAsia="Times New Roman" w:cs="Arial"/>
                <w:b/>
                <w:bCs/>
                <w:sz w:val="16"/>
                <w:szCs w:val="16"/>
                <w:lang w:eastAsia="da-DK"/>
              </w:rPr>
            </w:pPr>
            <w:r w:rsidRPr="004C6E76">
              <w:rPr>
                <w:rFonts w:eastAsia="Times New Roman" w:cs="Arial"/>
                <w:b/>
                <w:bCs/>
                <w:sz w:val="16"/>
                <w:szCs w:val="16"/>
                <w:lang w:eastAsia="da-DK"/>
              </w:rPr>
              <w:t>Tillægsbevilling /Omplacering</w:t>
            </w:r>
          </w:p>
        </w:tc>
        <w:tc>
          <w:tcPr>
            <w:tcW w:w="512" w:type="pct"/>
            <w:tcBorders>
              <w:top w:val="single" w:sz="4" w:space="0" w:color="auto"/>
              <w:left w:val="nil"/>
              <w:bottom w:val="single" w:sz="4" w:space="0" w:color="auto"/>
              <w:right w:val="single" w:sz="4" w:space="0" w:color="auto"/>
            </w:tcBorders>
            <w:shd w:val="clear" w:color="000000" w:fill="C5D9F1"/>
            <w:vAlign w:val="center"/>
            <w:hideMark/>
          </w:tcPr>
          <w:p w:rsidR="004C6E76" w:rsidRPr="004C6E76" w:rsidRDefault="004C6E76" w:rsidP="004C6E76">
            <w:pPr>
              <w:spacing w:after="0"/>
              <w:jc w:val="center"/>
              <w:rPr>
                <w:rFonts w:eastAsia="Times New Roman" w:cs="Arial"/>
                <w:b/>
                <w:bCs/>
                <w:sz w:val="16"/>
                <w:szCs w:val="16"/>
                <w:lang w:eastAsia="da-DK"/>
              </w:rPr>
            </w:pPr>
            <w:r w:rsidRPr="004C6E76">
              <w:rPr>
                <w:rFonts w:eastAsia="Times New Roman" w:cs="Arial"/>
                <w:b/>
                <w:bCs/>
                <w:sz w:val="16"/>
                <w:szCs w:val="16"/>
                <w:lang w:eastAsia="da-DK"/>
              </w:rPr>
              <w:t>Korr. v. Budget</w:t>
            </w:r>
          </w:p>
        </w:tc>
        <w:tc>
          <w:tcPr>
            <w:tcW w:w="512" w:type="pct"/>
            <w:tcBorders>
              <w:top w:val="single" w:sz="4" w:space="0" w:color="auto"/>
              <w:left w:val="nil"/>
              <w:bottom w:val="single" w:sz="4" w:space="0" w:color="auto"/>
              <w:right w:val="single" w:sz="4" w:space="0" w:color="auto"/>
            </w:tcBorders>
            <w:shd w:val="clear" w:color="000000" w:fill="C5D9F1"/>
            <w:vAlign w:val="center"/>
            <w:hideMark/>
          </w:tcPr>
          <w:p w:rsidR="004C6E76" w:rsidRPr="004C6E76" w:rsidRDefault="006B0763" w:rsidP="004C6E76">
            <w:pPr>
              <w:spacing w:after="0"/>
              <w:jc w:val="center"/>
              <w:rPr>
                <w:rFonts w:eastAsia="Times New Roman" w:cs="Arial"/>
                <w:b/>
                <w:bCs/>
                <w:sz w:val="16"/>
                <w:szCs w:val="16"/>
                <w:lang w:eastAsia="da-DK"/>
              </w:rPr>
            </w:pPr>
            <w:r>
              <w:rPr>
                <w:rFonts w:eastAsia="Times New Roman" w:cs="Arial"/>
                <w:b/>
                <w:bCs/>
                <w:sz w:val="16"/>
                <w:szCs w:val="16"/>
                <w:lang w:eastAsia="da-DK"/>
              </w:rPr>
              <w:t>Regnskab 2019</w:t>
            </w:r>
          </w:p>
        </w:tc>
        <w:tc>
          <w:tcPr>
            <w:tcW w:w="512" w:type="pct"/>
            <w:tcBorders>
              <w:top w:val="single" w:sz="4" w:space="0" w:color="auto"/>
              <w:left w:val="nil"/>
              <w:bottom w:val="single" w:sz="4" w:space="0" w:color="auto"/>
              <w:right w:val="single" w:sz="4" w:space="0" w:color="auto"/>
            </w:tcBorders>
            <w:shd w:val="clear" w:color="000000" w:fill="C5D9F1"/>
            <w:vAlign w:val="center"/>
            <w:hideMark/>
          </w:tcPr>
          <w:p w:rsidR="004C6E76" w:rsidRPr="004C6E76" w:rsidRDefault="004C6E76" w:rsidP="004C6E76">
            <w:pPr>
              <w:spacing w:after="0"/>
              <w:jc w:val="center"/>
              <w:rPr>
                <w:rFonts w:eastAsia="Times New Roman" w:cs="Arial"/>
                <w:b/>
                <w:bCs/>
                <w:sz w:val="16"/>
                <w:szCs w:val="16"/>
                <w:lang w:eastAsia="da-DK"/>
              </w:rPr>
            </w:pPr>
            <w:r w:rsidRPr="004C6E76">
              <w:rPr>
                <w:rFonts w:eastAsia="Times New Roman" w:cs="Arial"/>
                <w:b/>
                <w:bCs/>
                <w:sz w:val="16"/>
                <w:szCs w:val="16"/>
                <w:lang w:eastAsia="da-DK"/>
              </w:rPr>
              <w:t>Over-/underskud</w:t>
            </w:r>
          </w:p>
        </w:tc>
      </w:tr>
      <w:tr w:rsidR="006B0763" w:rsidRPr="004C6E76" w:rsidTr="00356859">
        <w:trPr>
          <w:trHeight w:val="300"/>
        </w:trPr>
        <w:tc>
          <w:tcPr>
            <w:tcW w:w="1769" w:type="pct"/>
            <w:tcBorders>
              <w:top w:val="nil"/>
              <w:left w:val="single" w:sz="4" w:space="0" w:color="auto"/>
              <w:bottom w:val="single" w:sz="4" w:space="0" w:color="auto"/>
              <w:right w:val="single" w:sz="4" w:space="0" w:color="auto"/>
            </w:tcBorders>
            <w:shd w:val="clear" w:color="auto" w:fill="auto"/>
            <w:noWrap/>
            <w:vAlign w:val="bottom"/>
            <w:hideMark/>
          </w:tcPr>
          <w:p w:rsidR="006B0763" w:rsidRPr="004C6E76" w:rsidRDefault="006B0763" w:rsidP="006B0763">
            <w:pPr>
              <w:spacing w:after="0"/>
              <w:ind w:firstLineChars="100" w:firstLine="160"/>
              <w:rPr>
                <w:rFonts w:eastAsia="Times New Roman" w:cs="Arial"/>
                <w:b/>
                <w:bCs/>
                <w:color w:val="000000"/>
                <w:sz w:val="16"/>
                <w:szCs w:val="16"/>
                <w:lang w:eastAsia="da-DK"/>
              </w:rPr>
            </w:pPr>
            <w:r w:rsidRPr="004C6E76">
              <w:rPr>
                <w:rFonts w:eastAsia="Times New Roman" w:cs="Arial"/>
                <w:b/>
                <w:bCs/>
                <w:color w:val="000000"/>
                <w:sz w:val="16"/>
                <w:szCs w:val="16"/>
                <w:lang w:eastAsia="da-DK"/>
              </w:rPr>
              <w:t>1 Økonomiudvalget</w:t>
            </w:r>
          </w:p>
        </w:tc>
        <w:tc>
          <w:tcPr>
            <w:tcW w:w="512" w:type="pct"/>
            <w:tcBorders>
              <w:top w:val="nil"/>
              <w:left w:val="nil"/>
              <w:bottom w:val="single" w:sz="4" w:space="0" w:color="auto"/>
              <w:right w:val="single" w:sz="4" w:space="0" w:color="auto"/>
            </w:tcBorders>
            <w:shd w:val="clear" w:color="auto" w:fill="auto"/>
            <w:noWrap/>
            <w:vAlign w:val="bottom"/>
            <w:hideMark/>
          </w:tcPr>
          <w:p w:rsidR="006B0763" w:rsidRPr="004C6E76" w:rsidRDefault="006B0763" w:rsidP="006B0763">
            <w:pPr>
              <w:spacing w:after="0"/>
              <w:jc w:val="right"/>
              <w:rPr>
                <w:rFonts w:eastAsia="Times New Roman" w:cs="Arial"/>
                <w:b/>
                <w:bCs/>
                <w:color w:val="000000"/>
                <w:sz w:val="16"/>
                <w:szCs w:val="16"/>
                <w:lang w:eastAsia="da-DK"/>
              </w:rPr>
            </w:pPr>
            <w:r w:rsidRPr="004C6E76">
              <w:rPr>
                <w:rFonts w:eastAsia="Times New Roman" w:cs="Arial"/>
                <w:b/>
                <w:bCs/>
                <w:color w:val="000000"/>
                <w:sz w:val="16"/>
                <w:szCs w:val="16"/>
                <w:lang w:eastAsia="da-DK"/>
              </w:rPr>
              <w:t>48.824</w:t>
            </w:r>
          </w:p>
        </w:tc>
        <w:tc>
          <w:tcPr>
            <w:tcW w:w="512" w:type="pct"/>
            <w:tcBorders>
              <w:top w:val="nil"/>
              <w:left w:val="nil"/>
              <w:bottom w:val="single" w:sz="4" w:space="0" w:color="auto"/>
              <w:right w:val="single" w:sz="4" w:space="0" w:color="auto"/>
            </w:tcBorders>
            <w:shd w:val="clear" w:color="auto" w:fill="auto"/>
            <w:noWrap/>
            <w:vAlign w:val="bottom"/>
            <w:hideMark/>
          </w:tcPr>
          <w:p w:rsidR="006B0763" w:rsidRPr="004C6E76" w:rsidRDefault="00522684" w:rsidP="006B0763">
            <w:pPr>
              <w:spacing w:after="0"/>
              <w:jc w:val="right"/>
              <w:rPr>
                <w:rFonts w:eastAsia="Times New Roman" w:cs="Arial"/>
                <w:b/>
                <w:bCs/>
                <w:color w:val="000000"/>
                <w:sz w:val="16"/>
                <w:szCs w:val="16"/>
                <w:lang w:eastAsia="da-DK"/>
              </w:rPr>
            </w:pPr>
            <w:r>
              <w:rPr>
                <w:rFonts w:eastAsia="Times New Roman" w:cs="Arial"/>
                <w:b/>
                <w:bCs/>
                <w:color w:val="000000"/>
                <w:sz w:val="16"/>
                <w:szCs w:val="16"/>
                <w:lang w:eastAsia="da-DK"/>
              </w:rPr>
              <w:t>73.522</w:t>
            </w:r>
          </w:p>
        </w:tc>
        <w:tc>
          <w:tcPr>
            <w:tcW w:w="670" w:type="pct"/>
            <w:tcBorders>
              <w:top w:val="nil"/>
              <w:left w:val="nil"/>
              <w:bottom w:val="single" w:sz="4" w:space="0" w:color="auto"/>
              <w:right w:val="single" w:sz="4" w:space="0" w:color="auto"/>
            </w:tcBorders>
            <w:shd w:val="clear" w:color="auto" w:fill="auto"/>
            <w:noWrap/>
            <w:vAlign w:val="bottom"/>
            <w:hideMark/>
          </w:tcPr>
          <w:p w:rsidR="006B0763" w:rsidRPr="004C6E76" w:rsidRDefault="006B0763" w:rsidP="006B0763">
            <w:pPr>
              <w:spacing w:after="0"/>
              <w:rPr>
                <w:rFonts w:eastAsia="Times New Roman" w:cs="Arial"/>
                <w:b/>
                <w:bCs/>
                <w:color w:val="000000"/>
                <w:sz w:val="16"/>
                <w:szCs w:val="16"/>
                <w:lang w:eastAsia="da-DK"/>
              </w:rPr>
            </w:pPr>
            <w:r w:rsidRPr="004C6E76">
              <w:rPr>
                <w:rFonts w:eastAsia="Times New Roman" w:cs="Arial"/>
                <w:b/>
                <w:bCs/>
                <w:color w:val="000000"/>
                <w:sz w:val="16"/>
                <w:szCs w:val="16"/>
                <w:lang w:eastAsia="da-DK"/>
              </w:rPr>
              <w:t> </w:t>
            </w:r>
            <w:r w:rsidR="00522684">
              <w:rPr>
                <w:rFonts w:eastAsia="Times New Roman" w:cs="Arial"/>
                <w:b/>
                <w:bCs/>
                <w:color w:val="000000"/>
                <w:sz w:val="16"/>
                <w:szCs w:val="16"/>
                <w:lang w:eastAsia="da-DK"/>
              </w:rPr>
              <w:t>101.823</w:t>
            </w:r>
          </w:p>
        </w:tc>
        <w:tc>
          <w:tcPr>
            <w:tcW w:w="512" w:type="pct"/>
            <w:tcBorders>
              <w:top w:val="nil"/>
              <w:left w:val="nil"/>
              <w:bottom w:val="single" w:sz="4" w:space="0" w:color="auto"/>
              <w:right w:val="single" w:sz="4" w:space="0" w:color="auto"/>
            </w:tcBorders>
            <w:shd w:val="clear" w:color="auto" w:fill="auto"/>
            <w:noWrap/>
            <w:vAlign w:val="bottom"/>
            <w:hideMark/>
          </w:tcPr>
          <w:p w:rsidR="006B0763" w:rsidRPr="004C6E76" w:rsidRDefault="009610B1" w:rsidP="006B0763">
            <w:pPr>
              <w:spacing w:after="0"/>
              <w:jc w:val="right"/>
              <w:rPr>
                <w:rFonts w:eastAsia="Times New Roman" w:cs="Arial"/>
                <w:b/>
                <w:bCs/>
                <w:color w:val="000000"/>
                <w:sz w:val="16"/>
                <w:szCs w:val="16"/>
                <w:lang w:eastAsia="da-DK"/>
              </w:rPr>
            </w:pPr>
            <w:r>
              <w:rPr>
                <w:rFonts w:eastAsia="Times New Roman" w:cs="Arial"/>
                <w:b/>
                <w:bCs/>
                <w:color w:val="000000"/>
                <w:sz w:val="16"/>
                <w:szCs w:val="16"/>
                <w:lang w:eastAsia="da-DK"/>
              </w:rPr>
              <w:t>175.346</w:t>
            </w:r>
          </w:p>
        </w:tc>
        <w:tc>
          <w:tcPr>
            <w:tcW w:w="512" w:type="pct"/>
            <w:tcBorders>
              <w:top w:val="nil"/>
              <w:left w:val="nil"/>
              <w:bottom w:val="single" w:sz="4" w:space="0" w:color="auto"/>
              <w:right w:val="single" w:sz="4" w:space="0" w:color="auto"/>
            </w:tcBorders>
            <w:shd w:val="clear" w:color="auto" w:fill="auto"/>
            <w:noWrap/>
            <w:vAlign w:val="bottom"/>
            <w:hideMark/>
          </w:tcPr>
          <w:p w:rsidR="006B0763" w:rsidRPr="004C6E76" w:rsidRDefault="00522684" w:rsidP="006B0763">
            <w:pPr>
              <w:spacing w:after="0"/>
              <w:jc w:val="right"/>
              <w:rPr>
                <w:rFonts w:eastAsia="Times New Roman" w:cs="Arial"/>
                <w:b/>
                <w:bCs/>
                <w:color w:val="000000"/>
                <w:sz w:val="16"/>
                <w:szCs w:val="16"/>
                <w:lang w:eastAsia="da-DK"/>
              </w:rPr>
            </w:pPr>
            <w:r>
              <w:rPr>
                <w:rFonts w:eastAsia="Times New Roman" w:cs="Arial"/>
                <w:b/>
                <w:bCs/>
                <w:color w:val="000000"/>
                <w:sz w:val="16"/>
                <w:szCs w:val="16"/>
                <w:lang w:eastAsia="da-DK"/>
              </w:rPr>
              <w:t>165.047</w:t>
            </w:r>
          </w:p>
        </w:tc>
        <w:tc>
          <w:tcPr>
            <w:tcW w:w="512" w:type="pct"/>
            <w:tcBorders>
              <w:top w:val="nil"/>
              <w:left w:val="nil"/>
              <w:bottom w:val="single" w:sz="4" w:space="0" w:color="auto"/>
              <w:right w:val="single" w:sz="4" w:space="0" w:color="auto"/>
            </w:tcBorders>
            <w:shd w:val="clear" w:color="auto" w:fill="auto"/>
            <w:noWrap/>
            <w:vAlign w:val="bottom"/>
            <w:hideMark/>
          </w:tcPr>
          <w:p w:rsidR="006B0763" w:rsidRPr="004C6E76" w:rsidRDefault="00522684" w:rsidP="006B0763">
            <w:pPr>
              <w:spacing w:after="0"/>
              <w:jc w:val="right"/>
              <w:rPr>
                <w:rFonts w:eastAsia="Times New Roman" w:cs="Arial"/>
                <w:b/>
                <w:bCs/>
                <w:color w:val="000000"/>
                <w:sz w:val="16"/>
                <w:szCs w:val="16"/>
                <w:lang w:eastAsia="da-DK"/>
              </w:rPr>
            </w:pPr>
            <w:r>
              <w:rPr>
                <w:rFonts w:eastAsia="Times New Roman" w:cs="Arial"/>
                <w:b/>
                <w:bCs/>
                <w:color w:val="000000"/>
                <w:sz w:val="16"/>
                <w:szCs w:val="16"/>
                <w:lang w:eastAsia="da-DK"/>
              </w:rPr>
              <w:t>10.29</w:t>
            </w:r>
            <w:r w:rsidR="0003619B">
              <w:rPr>
                <w:rFonts w:eastAsia="Times New Roman" w:cs="Arial"/>
                <w:b/>
                <w:bCs/>
                <w:color w:val="000000"/>
                <w:sz w:val="16"/>
                <w:szCs w:val="16"/>
                <w:lang w:eastAsia="da-DK"/>
              </w:rPr>
              <w:t>9</w:t>
            </w:r>
          </w:p>
        </w:tc>
      </w:tr>
      <w:tr w:rsidR="006B0763" w:rsidRPr="004C6E76" w:rsidTr="00356859">
        <w:trPr>
          <w:trHeight w:val="300"/>
        </w:trPr>
        <w:tc>
          <w:tcPr>
            <w:tcW w:w="1769" w:type="pct"/>
            <w:tcBorders>
              <w:top w:val="nil"/>
              <w:left w:val="single" w:sz="4" w:space="0" w:color="auto"/>
              <w:bottom w:val="single" w:sz="4" w:space="0" w:color="auto"/>
              <w:right w:val="single" w:sz="4" w:space="0" w:color="auto"/>
            </w:tcBorders>
            <w:shd w:val="clear" w:color="auto" w:fill="auto"/>
            <w:noWrap/>
            <w:vAlign w:val="bottom"/>
            <w:hideMark/>
          </w:tcPr>
          <w:p w:rsidR="006B0763" w:rsidRPr="004C6E76" w:rsidRDefault="006B0763" w:rsidP="006B0763">
            <w:pPr>
              <w:spacing w:after="0"/>
              <w:ind w:firstLineChars="200" w:firstLine="320"/>
              <w:rPr>
                <w:rFonts w:eastAsia="Times New Roman" w:cs="Arial"/>
                <w:color w:val="000000"/>
                <w:sz w:val="16"/>
                <w:szCs w:val="16"/>
                <w:lang w:eastAsia="da-DK"/>
              </w:rPr>
            </w:pPr>
            <w:r w:rsidRPr="004C6E76">
              <w:rPr>
                <w:rFonts w:eastAsia="Times New Roman" w:cs="Arial"/>
                <w:color w:val="000000"/>
                <w:sz w:val="16"/>
                <w:szCs w:val="16"/>
                <w:lang w:eastAsia="da-DK"/>
              </w:rPr>
              <w:t>08 Balanceforskydninger</w:t>
            </w:r>
          </w:p>
        </w:tc>
        <w:tc>
          <w:tcPr>
            <w:tcW w:w="512" w:type="pct"/>
            <w:tcBorders>
              <w:top w:val="nil"/>
              <w:left w:val="nil"/>
              <w:bottom w:val="single" w:sz="4" w:space="0" w:color="auto"/>
              <w:right w:val="single" w:sz="4" w:space="0" w:color="auto"/>
            </w:tcBorders>
            <w:shd w:val="clear" w:color="auto" w:fill="auto"/>
            <w:noWrap/>
            <w:vAlign w:val="bottom"/>
            <w:hideMark/>
          </w:tcPr>
          <w:p w:rsidR="006B0763" w:rsidRPr="004C6E76" w:rsidRDefault="006B0763" w:rsidP="006B0763">
            <w:pPr>
              <w:spacing w:after="0"/>
              <w:rPr>
                <w:rFonts w:eastAsia="Times New Roman" w:cs="Arial"/>
                <w:color w:val="000000"/>
                <w:sz w:val="16"/>
                <w:szCs w:val="16"/>
                <w:lang w:eastAsia="da-DK"/>
              </w:rPr>
            </w:pPr>
            <w:r w:rsidRPr="004C6E76">
              <w:rPr>
                <w:rFonts w:eastAsia="Times New Roman" w:cs="Arial"/>
                <w:color w:val="000000"/>
                <w:sz w:val="16"/>
                <w:szCs w:val="16"/>
                <w:lang w:eastAsia="da-DK"/>
              </w:rPr>
              <w:t> </w:t>
            </w:r>
          </w:p>
        </w:tc>
        <w:tc>
          <w:tcPr>
            <w:tcW w:w="512" w:type="pct"/>
            <w:tcBorders>
              <w:top w:val="nil"/>
              <w:left w:val="nil"/>
              <w:bottom w:val="single" w:sz="4" w:space="0" w:color="auto"/>
              <w:right w:val="single" w:sz="4" w:space="0" w:color="auto"/>
            </w:tcBorders>
            <w:shd w:val="clear" w:color="auto" w:fill="auto"/>
            <w:noWrap/>
            <w:vAlign w:val="bottom"/>
            <w:hideMark/>
          </w:tcPr>
          <w:p w:rsidR="006B0763" w:rsidRPr="004C6E76" w:rsidRDefault="006B0763" w:rsidP="006B0763">
            <w:pPr>
              <w:spacing w:after="0"/>
              <w:rPr>
                <w:rFonts w:eastAsia="Times New Roman" w:cs="Arial"/>
                <w:color w:val="000000"/>
                <w:sz w:val="16"/>
                <w:szCs w:val="16"/>
                <w:lang w:eastAsia="da-DK"/>
              </w:rPr>
            </w:pPr>
            <w:r w:rsidRPr="004C6E76">
              <w:rPr>
                <w:rFonts w:eastAsia="Times New Roman" w:cs="Arial"/>
                <w:color w:val="000000"/>
                <w:sz w:val="16"/>
                <w:szCs w:val="16"/>
                <w:lang w:eastAsia="da-DK"/>
              </w:rPr>
              <w:t> </w:t>
            </w:r>
          </w:p>
        </w:tc>
        <w:tc>
          <w:tcPr>
            <w:tcW w:w="670" w:type="pct"/>
            <w:tcBorders>
              <w:top w:val="nil"/>
              <w:left w:val="nil"/>
              <w:bottom w:val="single" w:sz="4" w:space="0" w:color="auto"/>
              <w:right w:val="single" w:sz="4" w:space="0" w:color="auto"/>
            </w:tcBorders>
            <w:shd w:val="clear" w:color="auto" w:fill="auto"/>
            <w:noWrap/>
            <w:vAlign w:val="bottom"/>
            <w:hideMark/>
          </w:tcPr>
          <w:p w:rsidR="006B0763" w:rsidRPr="004C6E76" w:rsidRDefault="006B0763" w:rsidP="00807480">
            <w:pPr>
              <w:spacing w:after="0"/>
              <w:rPr>
                <w:rFonts w:eastAsia="Times New Roman" w:cs="Arial"/>
                <w:color w:val="000000"/>
                <w:sz w:val="16"/>
                <w:szCs w:val="16"/>
                <w:lang w:eastAsia="da-DK"/>
              </w:rPr>
            </w:pPr>
            <w:r w:rsidRPr="004C6E76">
              <w:rPr>
                <w:rFonts w:eastAsia="Times New Roman" w:cs="Arial"/>
                <w:color w:val="000000"/>
                <w:sz w:val="16"/>
                <w:szCs w:val="16"/>
                <w:lang w:eastAsia="da-DK"/>
              </w:rPr>
              <w:t> </w:t>
            </w:r>
          </w:p>
        </w:tc>
        <w:tc>
          <w:tcPr>
            <w:tcW w:w="512" w:type="pct"/>
            <w:tcBorders>
              <w:top w:val="nil"/>
              <w:left w:val="nil"/>
              <w:bottom w:val="single" w:sz="4" w:space="0" w:color="auto"/>
              <w:right w:val="single" w:sz="4" w:space="0" w:color="auto"/>
            </w:tcBorders>
            <w:shd w:val="clear" w:color="auto" w:fill="auto"/>
            <w:noWrap/>
            <w:vAlign w:val="bottom"/>
            <w:hideMark/>
          </w:tcPr>
          <w:p w:rsidR="006B0763" w:rsidRPr="004C6E76" w:rsidRDefault="006B0763" w:rsidP="006B0763">
            <w:pPr>
              <w:spacing w:after="0"/>
              <w:rPr>
                <w:rFonts w:eastAsia="Times New Roman" w:cs="Arial"/>
                <w:color w:val="000000"/>
                <w:sz w:val="16"/>
                <w:szCs w:val="16"/>
                <w:lang w:eastAsia="da-DK"/>
              </w:rPr>
            </w:pPr>
            <w:r w:rsidRPr="004C6E76">
              <w:rPr>
                <w:rFonts w:eastAsia="Times New Roman" w:cs="Arial"/>
                <w:color w:val="000000"/>
                <w:sz w:val="16"/>
                <w:szCs w:val="16"/>
                <w:lang w:eastAsia="da-DK"/>
              </w:rPr>
              <w:t> </w:t>
            </w:r>
          </w:p>
        </w:tc>
        <w:tc>
          <w:tcPr>
            <w:tcW w:w="512" w:type="pct"/>
            <w:tcBorders>
              <w:top w:val="nil"/>
              <w:left w:val="nil"/>
              <w:bottom w:val="single" w:sz="4" w:space="0" w:color="auto"/>
              <w:right w:val="single" w:sz="4" w:space="0" w:color="auto"/>
            </w:tcBorders>
            <w:shd w:val="clear" w:color="auto" w:fill="auto"/>
            <w:noWrap/>
            <w:vAlign w:val="bottom"/>
            <w:hideMark/>
          </w:tcPr>
          <w:p w:rsidR="006B0763" w:rsidRPr="004C6E76" w:rsidRDefault="006B0763" w:rsidP="006B0763">
            <w:pPr>
              <w:spacing w:after="0"/>
              <w:rPr>
                <w:rFonts w:eastAsia="Times New Roman" w:cs="Arial"/>
                <w:color w:val="000000"/>
                <w:sz w:val="16"/>
                <w:szCs w:val="16"/>
                <w:lang w:eastAsia="da-DK"/>
              </w:rPr>
            </w:pPr>
            <w:r w:rsidRPr="004C6E76">
              <w:rPr>
                <w:rFonts w:eastAsia="Times New Roman" w:cs="Arial"/>
                <w:color w:val="000000"/>
                <w:sz w:val="16"/>
                <w:szCs w:val="16"/>
                <w:lang w:eastAsia="da-DK"/>
              </w:rPr>
              <w:t> </w:t>
            </w:r>
          </w:p>
        </w:tc>
        <w:tc>
          <w:tcPr>
            <w:tcW w:w="512" w:type="pct"/>
            <w:tcBorders>
              <w:top w:val="nil"/>
              <w:left w:val="nil"/>
              <w:bottom w:val="single" w:sz="4" w:space="0" w:color="auto"/>
              <w:right w:val="single" w:sz="4" w:space="0" w:color="auto"/>
            </w:tcBorders>
            <w:shd w:val="clear" w:color="auto" w:fill="auto"/>
            <w:noWrap/>
            <w:vAlign w:val="bottom"/>
            <w:hideMark/>
          </w:tcPr>
          <w:p w:rsidR="006B0763" w:rsidRPr="004C6E76" w:rsidRDefault="006B0763" w:rsidP="006B0763">
            <w:pPr>
              <w:spacing w:after="0"/>
              <w:rPr>
                <w:rFonts w:eastAsia="Times New Roman" w:cs="Arial"/>
                <w:b/>
                <w:bCs/>
                <w:color w:val="000000"/>
                <w:sz w:val="16"/>
                <w:szCs w:val="16"/>
                <w:lang w:eastAsia="da-DK"/>
              </w:rPr>
            </w:pPr>
            <w:r w:rsidRPr="004C6E76">
              <w:rPr>
                <w:rFonts w:eastAsia="Times New Roman" w:cs="Arial"/>
                <w:b/>
                <w:bCs/>
                <w:color w:val="000000"/>
                <w:sz w:val="16"/>
                <w:szCs w:val="16"/>
                <w:lang w:eastAsia="da-DK"/>
              </w:rPr>
              <w:t> </w:t>
            </w:r>
          </w:p>
        </w:tc>
      </w:tr>
      <w:tr w:rsidR="006B0763" w:rsidRPr="004C6E76" w:rsidTr="00356859">
        <w:trPr>
          <w:trHeight w:val="300"/>
        </w:trPr>
        <w:tc>
          <w:tcPr>
            <w:tcW w:w="1769" w:type="pct"/>
            <w:tcBorders>
              <w:top w:val="nil"/>
              <w:left w:val="single" w:sz="4" w:space="0" w:color="auto"/>
              <w:bottom w:val="single" w:sz="4" w:space="0" w:color="auto"/>
              <w:right w:val="single" w:sz="4" w:space="0" w:color="auto"/>
            </w:tcBorders>
            <w:shd w:val="clear" w:color="auto" w:fill="auto"/>
            <w:noWrap/>
            <w:vAlign w:val="bottom"/>
            <w:hideMark/>
          </w:tcPr>
          <w:p w:rsidR="006B0763" w:rsidRPr="004C6E76" w:rsidRDefault="006B0763" w:rsidP="006B0763">
            <w:pPr>
              <w:spacing w:after="0"/>
              <w:ind w:firstLineChars="300" w:firstLine="480"/>
              <w:rPr>
                <w:rFonts w:eastAsia="Times New Roman" w:cs="Arial"/>
                <w:color w:val="000000"/>
                <w:sz w:val="16"/>
                <w:szCs w:val="16"/>
                <w:lang w:eastAsia="da-DK"/>
              </w:rPr>
            </w:pPr>
            <w:r w:rsidRPr="004C6E76">
              <w:rPr>
                <w:rFonts w:eastAsia="Times New Roman" w:cs="Arial"/>
                <w:color w:val="000000"/>
                <w:sz w:val="16"/>
                <w:szCs w:val="16"/>
                <w:lang w:eastAsia="da-DK"/>
              </w:rPr>
              <w:t>55 Forskydninger i langfristet gæld</w:t>
            </w:r>
          </w:p>
        </w:tc>
        <w:tc>
          <w:tcPr>
            <w:tcW w:w="512" w:type="pct"/>
            <w:tcBorders>
              <w:top w:val="nil"/>
              <w:left w:val="nil"/>
              <w:bottom w:val="single" w:sz="4" w:space="0" w:color="auto"/>
              <w:right w:val="single" w:sz="4" w:space="0" w:color="auto"/>
            </w:tcBorders>
            <w:shd w:val="clear" w:color="auto" w:fill="auto"/>
            <w:noWrap/>
            <w:vAlign w:val="bottom"/>
            <w:hideMark/>
          </w:tcPr>
          <w:p w:rsidR="006B0763" w:rsidRPr="004C6E76" w:rsidRDefault="006B0763" w:rsidP="006B0763">
            <w:pPr>
              <w:spacing w:after="0"/>
              <w:jc w:val="right"/>
              <w:rPr>
                <w:rFonts w:eastAsia="Times New Roman" w:cs="Arial"/>
                <w:color w:val="000000"/>
                <w:sz w:val="16"/>
                <w:szCs w:val="16"/>
                <w:lang w:eastAsia="da-DK"/>
              </w:rPr>
            </w:pPr>
            <w:r w:rsidRPr="004C6E76">
              <w:rPr>
                <w:rFonts w:eastAsia="Times New Roman" w:cs="Arial"/>
                <w:color w:val="000000"/>
                <w:sz w:val="16"/>
                <w:szCs w:val="16"/>
                <w:lang w:eastAsia="da-DK"/>
              </w:rPr>
              <w:t>48.824</w:t>
            </w:r>
          </w:p>
        </w:tc>
        <w:tc>
          <w:tcPr>
            <w:tcW w:w="512" w:type="pct"/>
            <w:tcBorders>
              <w:top w:val="nil"/>
              <w:left w:val="nil"/>
              <w:bottom w:val="single" w:sz="4" w:space="0" w:color="auto"/>
              <w:right w:val="single" w:sz="4" w:space="0" w:color="auto"/>
            </w:tcBorders>
            <w:shd w:val="clear" w:color="auto" w:fill="auto"/>
            <w:noWrap/>
            <w:vAlign w:val="bottom"/>
            <w:hideMark/>
          </w:tcPr>
          <w:p w:rsidR="006B0763" w:rsidRPr="004C6E76" w:rsidRDefault="00522684" w:rsidP="006B0763">
            <w:pPr>
              <w:spacing w:after="0"/>
              <w:jc w:val="right"/>
              <w:rPr>
                <w:rFonts w:eastAsia="Times New Roman" w:cs="Arial"/>
                <w:color w:val="000000"/>
                <w:sz w:val="16"/>
                <w:szCs w:val="16"/>
                <w:lang w:eastAsia="da-DK"/>
              </w:rPr>
            </w:pPr>
            <w:r>
              <w:rPr>
                <w:rFonts w:eastAsia="Times New Roman" w:cs="Arial"/>
                <w:color w:val="000000"/>
                <w:sz w:val="16"/>
                <w:szCs w:val="16"/>
                <w:lang w:eastAsia="da-DK"/>
              </w:rPr>
              <w:t>73.522</w:t>
            </w:r>
          </w:p>
        </w:tc>
        <w:tc>
          <w:tcPr>
            <w:tcW w:w="670" w:type="pct"/>
            <w:tcBorders>
              <w:top w:val="nil"/>
              <w:left w:val="nil"/>
              <w:bottom w:val="single" w:sz="4" w:space="0" w:color="auto"/>
              <w:right w:val="single" w:sz="4" w:space="0" w:color="auto"/>
            </w:tcBorders>
            <w:shd w:val="clear" w:color="auto" w:fill="auto"/>
            <w:noWrap/>
            <w:vAlign w:val="bottom"/>
            <w:hideMark/>
          </w:tcPr>
          <w:p w:rsidR="006B0763" w:rsidRPr="004C6E76" w:rsidRDefault="006B0763" w:rsidP="006B0763">
            <w:pPr>
              <w:spacing w:after="0"/>
              <w:rPr>
                <w:rFonts w:eastAsia="Times New Roman" w:cs="Arial"/>
                <w:color w:val="000000"/>
                <w:sz w:val="16"/>
                <w:szCs w:val="16"/>
                <w:lang w:eastAsia="da-DK"/>
              </w:rPr>
            </w:pPr>
            <w:r w:rsidRPr="004C6E76">
              <w:rPr>
                <w:rFonts w:eastAsia="Times New Roman" w:cs="Arial"/>
                <w:color w:val="000000"/>
                <w:sz w:val="16"/>
                <w:szCs w:val="16"/>
                <w:lang w:eastAsia="da-DK"/>
              </w:rPr>
              <w:t> </w:t>
            </w:r>
            <w:r w:rsidR="00522684">
              <w:rPr>
                <w:rFonts w:eastAsia="Times New Roman" w:cs="Arial"/>
                <w:color w:val="000000"/>
                <w:sz w:val="16"/>
                <w:szCs w:val="16"/>
                <w:lang w:eastAsia="da-DK"/>
              </w:rPr>
              <w:t>101.823</w:t>
            </w:r>
          </w:p>
        </w:tc>
        <w:tc>
          <w:tcPr>
            <w:tcW w:w="512" w:type="pct"/>
            <w:tcBorders>
              <w:top w:val="nil"/>
              <w:left w:val="nil"/>
              <w:bottom w:val="single" w:sz="4" w:space="0" w:color="auto"/>
              <w:right w:val="single" w:sz="4" w:space="0" w:color="auto"/>
            </w:tcBorders>
            <w:shd w:val="clear" w:color="auto" w:fill="auto"/>
            <w:noWrap/>
            <w:vAlign w:val="bottom"/>
            <w:hideMark/>
          </w:tcPr>
          <w:p w:rsidR="006B0763" w:rsidRPr="004C6E76" w:rsidRDefault="00522684" w:rsidP="006B0763">
            <w:pPr>
              <w:spacing w:after="0"/>
              <w:jc w:val="right"/>
              <w:rPr>
                <w:rFonts w:eastAsia="Times New Roman" w:cs="Arial"/>
                <w:color w:val="000000"/>
                <w:sz w:val="16"/>
                <w:szCs w:val="16"/>
                <w:lang w:eastAsia="da-DK"/>
              </w:rPr>
            </w:pPr>
            <w:r>
              <w:rPr>
                <w:rFonts w:eastAsia="Times New Roman" w:cs="Arial"/>
                <w:color w:val="000000"/>
                <w:sz w:val="16"/>
                <w:szCs w:val="16"/>
                <w:lang w:eastAsia="da-DK"/>
              </w:rPr>
              <w:t>175.346</w:t>
            </w:r>
          </w:p>
        </w:tc>
        <w:tc>
          <w:tcPr>
            <w:tcW w:w="512" w:type="pct"/>
            <w:tcBorders>
              <w:top w:val="nil"/>
              <w:left w:val="nil"/>
              <w:bottom w:val="single" w:sz="4" w:space="0" w:color="auto"/>
              <w:right w:val="single" w:sz="4" w:space="0" w:color="auto"/>
            </w:tcBorders>
            <w:shd w:val="clear" w:color="auto" w:fill="auto"/>
            <w:noWrap/>
            <w:vAlign w:val="bottom"/>
            <w:hideMark/>
          </w:tcPr>
          <w:p w:rsidR="006B0763" w:rsidRPr="004C6E76" w:rsidRDefault="00522684" w:rsidP="006B0763">
            <w:pPr>
              <w:spacing w:after="0"/>
              <w:jc w:val="right"/>
              <w:rPr>
                <w:rFonts w:eastAsia="Times New Roman" w:cs="Arial"/>
                <w:color w:val="000000"/>
                <w:sz w:val="16"/>
                <w:szCs w:val="16"/>
                <w:lang w:eastAsia="da-DK"/>
              </w:rPr>
            </w:pPr>
            <w:r>
              <w:rPr>
                <w:rFonts w:eastAsia="Times New Roman" w:cs="Arial"/>
                <w:color w:val="000000"/>
                <w:sz w:val="16"/>
                <w:szCs w:val="16"/>
                <w:lang w:eastAsia="da-DK"/>
              </w:rPr>
              <w:t>165.047</w:t>
            </w:r>
          </w:p>
        </w:tc>
        <w:tc>
          <w:tcPr>
            <w:tcW w:w="512" w:type="pct"/>
            <w:tcBorders>
              <w:top w:val="nil"/>
              <w:left w:val="nil"/>
              <w:bottom w:val="single" w:sz="4" w:space="0" w:color="auto"/>
              <w:right w:val="single" w:sz="4" w:space="0" w:color="auto"/>
            </w:tcBorders>
            <w:shd w:val="clear" w:color="auto" w:fill="auto"/>
            <w:noWrap/>
            <w:vAlign w:val="bottom"/>
            <w:hideMark/>
          </w:tcPr>
          <w:p w:rsidR="006B0763" w:rsidRPr="004C6E76" w:rsidRDefault="00522684" w:rsidP="006B0763">
            <w:pPr>
              <w:spacing w:after="0"/>
              <w:jc w:val="right"/>
              <w:rPr>
                <w:rFonts w:eastAsia="Times New Roman" w:cs="Arial"/>
                <w:b/>
                <w:bCs/>
                <w:color w:val="000000"/>
                <w:sz w:val="16"/>
                <w:szCs w:val="16"/>
                <w:lang w:eastAsia="da-DK"/>
              </w:rPr>
            </w:pPr>
            <w:r>
              <w:rPr>
                <w:rFonts w:eastAsia="Times New Roman" w:cs="Arial"/>
                <w:b/>
                <w:bCs/>
                <w:color w:val="000000"/>
                <w:sz w:val="16"/>
                <w:szCs w:val="16"/>
                <w:lang w:eastAsia="da-DK"/>
              </w:rPr>
              <w:t>10.29</w:t>
            </w:r>
            <w:r w:rsidR="0003619B">
              <w:rPr>
                <w:rFonts w:eastAsia="Times New Roman" w:cs="Arial"/>
                <w:b/>
                <w:bCs/>
                <w:color w:val="000000"/>
                <w:sz w:val="16"/>
                <w:szCs w:val="16"/>
                <w:lang w:eastAsia="da-DK"/>
              </w:rPr>
              <w:t>9</w:t>
            </w:r>
          </w:p>
        </w:tc>
      </w:tr>
      <w:tr w:rsidR="006B0763" w:rsidRPr="004C6E76" w:rsidTr="00356859">
        <w:trPr>
          <w:trHeight w:val="300"/>
        </w:trPr>
        <w:tc>
          <w:tcPr>
            <w:tcW w:w="1769" w:type="pct"/>
            <w:tcBorders>
              <w:top w:val="nil"/>
              <w:left w:val="single" w:sz="4" w:space="0" w:color="auto"/>
              <w:bottom w:val="single" w:sz="4" w:space="0" w:color="auto"/>
              <w:right w:val="single" w:sz="4" w:space="0" w:color="auto"/>
            </w:tcBorders>
            <w:shd w:val="clear" w:color="auto" w:fill="auto"/>
            <w:vAlign w:val="bottom"/>
            <w:hideMark/>
          </w:tcPr>
          <w:p w:rsidR="006B0763" w:rsidRPr="004C6E76" w:rsidRDefault="006B0763" w:rsidP="006B0763">
            <w:pPr>
              <w:spacing w:after="0"/>
              <w:rPr>
                <w:rFonts w:eastAsia="Times New Roman" w:cs="Arial"/>
                <w:b/>
                <w:bCs/>
                <w:sz w:val="16"/>
                <w:szCs w:val="16"/>
                <w:lang w:eastAsia="da-DK"/>
              </w:rPr>
            </w:pPr>
            <w:r w:rsidRPr="004C6E76">
              <w:rPr>
                <w:rFonts w:eastAsia="Times New Roman" w:cs="Arial"/>
                <w:b/>
                <w:bCs/>
                <w:sz w:val="16"/>
                <w:szCs w:val="16"/>
                <w:lang w:eastAsia="da-DK"/>
              </w:rPr>
              <w:t>I alt</w:t>
            </w:r>
          </w:p>
        </w:tc>
        <w:tc>
          <w:tcPr>
            <w:tcW w:w="512" w:type="pct"/>
            <w:tcBorders>
              <w:top w:val="nil"/>
              <w:left w:val="nil"/>
              <w:bottom w:val="single" w:sz="4" w:space="0" w:color="auto"/>
              <w:right w:val="single" w:sz="4" w:space="0" w:color="auto"/>
            </w:tcBorders>
            <w:shd w:val="clear" w:color="auto" w:fill="auto"/>
            <w:noWrap/>
            <w:vAlign w:val="bottom"/>
            <w:hideMark/>
          </w:tcPr>
          <w:p w:rsidR="006B0763" w:rsidRPr="004C6E76" w:rsidRDefault="006B0763" w:rsidP="006B0763">
            <w:pPr>
              <w:spacing w:after="0"/>
              <w:jc w:val="right"/>
              <w:rPr>
                <w:rFonts w:eastAsia="Times New Roman" w:cs="Arial"/>
                <w:b/>
                <w:bCs/>
                <w:color w:val="000000"/>
                <w:sz w:val="16"/>
                <w:szCs w:val="16"/>
                <w:lang w:eastAsia="da-DK"/>
              </w:rPr>
            </w:pPr>
            <w:r w:rsidRPr="004C6E76">
              <w:rPr>
                <w:rFonts w:eastAsia="Times New Roman" w:cs="Arial"/>
                <w:b/>
                <w:bCs/>
                <w:color w:val="000000"/>
                <w:sz w:val="16"/>
                <w:szCs w:val="16"/>
                <w:lang w:eastAsia="da-DK"/>
              </w:rPr>
              <w:t>48.824</w:t>
            </w:r>
          </w:p>
        </w:tc>
        <w:tc>
          <w:tcPr>
            <w:tcW w:w="512" w:type="pct"/>
            <w:tcBorders>
              <w:top w:val="nil"/>
              <w:left w:val="nil"/>
              <w:bottom w:val="single" w:sz="4" w:space="0" w:color="auto"/>
              <w:right w:val="single" w:sz="4" w:space="0" w:color="auto"/>
            </w:tcBorders>
            <w:shd w:val="clear" w:color="auto" w:fill="auto"/>
            <w:noWrap/>
            <w:vAlign w:val="bottom"/>
            <w:hideMark/>
          </w:tcPr>
          <w:p w:rsidR="006B0763" w:rsidRPr="004C6E76" w:rsidRDefault="00522684" w:rsidP="006B0763">
            <w:pPr>
              <w:spacing w:after="0"/>
              <w:jc w:val="right"/>
              <w:rPr>
                <w:rFonts w:eastAsia="Times New Roman" w:cs="Arial"/>
                <w:b/>
                <w:bCs/>
                <w:color w:val="000000"/>
                <w:sz w:val="16"/>
                <w:szCs w:val="16"/>
                <w:lang w:eastAsia="da-DK"/>
              </w:rPr>
            </w:pPr>
            <w:r>
              <w:rPr>
                <w:rFonts w:eastAsia="Times New Roman" w:cs="Arial"/>
                <w:b/>
                <w:bCs/>
                <w:color w:val="000000"/>
                <w:sz w:val="16"/>
                <w:szCs w:val="16"/>
                <w:lang w:eastAsia="da-DK"/>
              </w:rPr>
              <w:t>73.522</w:t>
            </w:r>
          </w:p>
        </w:tc>
        <w:tc>
          <w:tcPr>
            <w:tcW w:w="670" w:type="pct"/>
            <w:tcBorders>
              <w:top w:val="nil"/>
              <w:left w:val="nil"/>
              <w:bottom w:val="single" w:sz="4" w:space="0" w:color="auto"/>
              <w:right w:val="single" w:sz="4" w:space="0" w:color="auto"/>
            </w:tcBorders>
            <w:shd w:val="clear" w:color="auto" w:fill="auto"/>
            <w:noWrap/>
            <w:vAlign w:val="bottom"/>
            <w:hideMark/>
          </w:tcPr>
          <w:p w:rsidR="006B0763" w:rsidRPr="004C6E76" w:rsidRDefault="006B0763" w:rsidP="006B0763">
            <w:pPr>
              <w:spacing w:after="0"/>
              <w:rPr>
                <w:rFonts w:eastAsia="Times New Roman" w:cs="Arial"/>
                <w:b/>
                <w:bCs/>
                <w:color w:val="000000"/>
                <w:sz w:val="16"/>
                <w:szCs w:val="16"/>
                <w:lang w:eastAsia="da-DK"/>
              </w:rPr>
            </w:pPr>
            <w:r w:rsidRPr="004C6E76">
              <w:rPr>
                <w:rFonts w:eastAsia="Times New Roman" w:cs="Arial"/>
                <w:b/>
                <w:bCs/>
                <w:color w:val="000000"/>
                <w:sz w:val="16"/>
                <w:szCs w:val="16"/>
                <w:lang w:eastAsia="da-DK"/>
              </w:rPr>
              <w:t> </w:t>
            </w:r>
            <w:r w:rsidR="00522684">
              <w:rPr>
                <w:rFonts w:eastAsia="Times New Roman" w:cs="Arial"/>
                <w:b/>
                <w:bCs/>
                <w:color w:val="000000"/>
                <w:sz w:val="16"/>
                <w:szCs w:val="16"/>
                <w:lang w:eastAsia="da-DK"/>
              </w:rPr>
              <w:t>101.823</w:t>
            </w:r>
          </w:p>
        </w:tc>
        <w:tc>
          <w:tcPr>
            <w:tcW w:w="512" w:type="pct"/>
            <w:tcBorders>
              <w:top w:val="nil"/>
              <w:left w:val="nil"/>
              <w:bottom w:val="single" w:sz="4" w:space="0" w:color="auto"/>
              <w:right w:val="single" w:sz="4" w:space="0" w:color="auto"/>
            </w:tcBorders>
            <w:shd w:val="clear" w:color="auto" w:fill="auto"/>
            <w:noWrap/>
            <w:vAlign w:val="bottom"/>
            <w:hideMark/>
          </w:tcPr>
          <w:p w:rsidR="006B0763" w:rsidRPr="004C6E76" w:rsidRDefault="00522684" w:rsidP="006B0763">
            <w:pPr>
              <w:spacing w:after="0"/>
              <w:jc w:val="right"/>
              <w:rPr>
                <w:rFonts w:eastAsia="Times New Roman" w:cs="Arial"/>
                <w:b/>
                <w:bCs/>
                <w:color w:val="000000"/>
                <w:sz w:val="16"/>
                <w:szCs w:val="16"/>
                <w:lang w:eastAsia="da-DK"/>
              </w:rPr>
            </w:pPr>
            <w:r>
              <w:rPr>
                <w:rFonts w:eastAsia="Times New Roman" w:cs="Arial"/>
                <w:b/>
                <w:bCs/>
                <w:color w:val="000000"/>
                <w:sz w:val="16"/>
                <w:szCs w:val="16"/>
                <w:lang w:eastAsia="da-DK"/>
              </w:rPr>
              <w:t>175.346</w:t>
            </w:r>
          </w:p>
        </w:tc>
        <w:tc>
          <w:tcPr>
            <w:tcW w:w="512" w:type="pct"/>
            <w:tcBorders>
              <w:top w:val="nil"/>
              <w:left w:val="nil"/>
              <w:bottom w:val="single" w:sz="4" w:space="0" w:color="auto"/>
              <w:right w:val="single" w:sz="4" w:space="0" w:color="auto"/>
            </w:tcBorders>
            <w:shd w:val="clear" w:color="auto" w:fill="auto"/>
            <w:noWrap/>
            <w:vAlign w:val="bottom"/>
            <w:hideMark/>
          </w:tcPr>
          <w:p w:rsidR="006B0763" w:rsidRPr="004C6E76" w:rsidRDefault="00522684" w:rsidP="006B0763">
            <w:pPr>
              <w:spacing w:after="0"/>
              <w:jc w:val="right"/>
              <w:rPr>
                <w:rFonts w:eastAsia="Times New Roman" w:cs="Arial"/>
                <w:b/>
                <w:bCs/>
                <w:color w:val="000000"/>
                <w:sz w:val="16"/>
                <w:szCs w:val="16"/>
                <w:lang w:eastAsia="da-DK"/>
              </w:rPr>
            </w:pPr>
            <w:r>
              <w:rPr>
                <w:rFonts w:eastAsia="Times New Roman" w:cs="Arial"/>
                <w:b/>
                <w:bCs/>
                <w:color w:val="000000"/>
                <w:sz w:val="16"/>
                <w:szCs w:val="16"/>
                <w:lang w:eastAsia="da-DK"/>
              </w:rPr>
              <w:t>165.047</w:t>
            </w:r>
          </w:p>
        </w:tc>
        <w:tc>
          <w:tcPr>
            <w:tcW w:w="512" w:type="pct"/>
            <w:tcBorders>
              <w:top w:val="nil"/>
              <w:left w:val="nil"/>
              <w:bottom w:val="single" w:sz="4" w:space="0" w:color="auto"/>
              <w:right w:val="single" w:sz="4" w:space="0" w:color="auto"/>
            </w:tcBorders>
            <w:shd w:val="clear" w:color="auto" w:fill="auto"/>
            <w:noWrap/>
            <w:vAlign w:val="bottom"/>
            <w:hideMark/>
          </w:tcPr>
          <w:p w:rsidR="006B0763" w:rsidRPr="004C6E76" w:rsidRDefault="00522684" w:rsidP="006B0763">
            <w:pPr>
              <w:spacing w:after="0"/>
              <w:jc w:val="right"/>
              <w:rPr>
                <w:rFonts w:eastAsia="Times New Roman" w:cs="Arial"/>
                <w:b/>
                <w:bCs/>
                <w:color w:val="000000"/>
                <w:sz w:val="16"/>
                <w:szCs w:val="16"/>
                <w:lang w:eastAsia="da-DK"/>
              </w:rPr>
            </w:pPr>
            <w:r>
              <w:rPr>
                <w:rFonts w:eastAsia="Times New Roman" w:cs="Arial"/>
                <w:b/>
                <w:bCs/>
                <w:color w:val="000000"/>
                <w:sz w:val="16"/>
                <w:szCs w:val="16"/>
                <w:lang w:eastAsia="da-DK"/>
              </w:rPr>
              <w:t>10.29</w:t>
            </w:r>
            <w:r w:rsidR="0003619B">
              <w:rPr>
                <w:rFonts w:eastAsia="Times New Roman" w:cs="Arial"/>
                <w:b/>
                <w:bCs/>
                <w:color w:val="000000"/>
                <w:sz w:val="16"/>
                <w:szCs w:val="16"/>
                <w:lang w:eastAsia="da-DK"/>
              </w:rPr>
              <w:t>9</w:t>
            </w:r>
          </w:p>
        </w:tc>
      </w:tr>
    </w:tbl>
    <w:p w:rsidR="000265F8" w:rsidRPr="00356859" w:rsidRDefault="001E3CD2" w:rsidP="00356859">
      <w:pPr>
        <w:rPr>
          <w:sz w:val="16"/>
        </w:rPr>
      </w:pPr>
      <w:r>
        <w:rPr>
          <w:sz w:val="16"/>
        </w:rPr>
        <w:t>Anm.: 2018-2019</w:t>
      </w:r>
      <w:r w:rsidR="006427CA">
        <w:rPr>
          <w:sz w:val="16"/>
        </w:rPr>
        <w:t xml:space="preserve"> i årets PL.</w:t>
      </w:r>
    </w:p>
    <w:p w:rsidR="006427CA" w:rsidRPr="004C6E76" w:rsidRDefault="006427CA" w:rsidP="006427CA">
      <w:pPr>
        <w:pStyle w:val="Overskrift2"/>
        <w:spacing w:before="0"/>
        <w:rPr>
          <w:rFonts w:cs="Arial"/>
        </w:rPr>
      </w:pPr>
      <w:bookmarkStart w:id="14" w:name="_Toc2932291"/>
      <w:r w:rsidRPr="004C6E76">
        <w:rPr>
          <w:rFonts w:cs="Arial"/>
        </w:rPr>
        <w:t>Årets væsentligste afvigelser og udfordringer</w:t>
      </w:r>
      <w:bookmarkEnd w:id="14"/>
      <w:r w:rsidRPr="004C6E76">
        <w:rPr>
          <w:rFonts w:cs="Arial"/>
        </w:rPr>
        <w:t xml:space="preserve"> </w:t>
      </w:r>
    </w:p>
    <w:p w:rsidR="007E0B76" w:rsidRDefault="004C6E76" w:rsidP="00651B33">
      <w:pPr>
        <w:spacing w:after="0"/>
        <w:jc w:val="both"/>
        <w:rPr>
          <w:rFonts w:cs="Arial"/>
        </w:rPr>
      </w:pPr>
      <w:r>
        <w:rPr>
          <w:rFonts w:cs="Arial"/>
          <w:szCs w:val="20"/>
        </w:rPr>
        <w:t>Der var oprindelig budgetteret med s</w:t>
      </w:r>
      <w:r w:rsidR="00BE6773">
        <w:rPr>
          <w:rFonts w:cs="Arial"/>
          <w:szCs w:val="20"/>
        </w:rPr>
        <w:t xml:space="preserve">amlet lånindfrielse på 73 mio. kr. </w:t>
      </w:r>
      <w:r>
        <w:rPr>
          <w:rFonts w:cs="Arial"/>
          <w:szCs w:val="20"/>
        </w:rPr>
        <w:t>Regnsk</w:t>
      </w:r>
      <w:r w:rsidR="00BE6773">
        <w:rPr>
          <w:rFonts w:cs="Arial"/>
          <w:szCs w:val="20"/>
        </w:rPr>
        <w:t>abet viser lånindfrielse på 165</w:t>
      </w:r>
      <w:r>
        <w:rPr>
          <w:rFonts w:cs="Arial"/>
          <w:szCs w:val="20"/>
        </w:rPr>
        <w:t xml:space="preserve"> mio. kr. </w:t>
      </w:r>
      <w:r w:rsidR="00651B33">
        <w:rPr>
          <w:rFonts w:cs="Arial"/>
        </w:rPr>
        <w:t>i 2019</w:t>
      </w:r>
      <w:r w:rsidR="000C7677">
        <w:rPr>
          <w:rFonts w:cs="Arial"/>
        </w:rPr>
        <w:t>, som følge af indfrielse af alle kommunens lån</w:t>
      </w:r>
      <w:r w:rsidR="00651B33">
        <w:rPr>
          <w:rFonts w:cs="Arial"/>
        </w:rPr>
        <w:t>.</w:t>
      </w:r>
      <w:bookmarkStart w:id="15" w:name="_Toc2932292"/>
    </w:p>
    <w:p w:rsidR="007E0B76" w:rsidRPr="007E0B76" w:rsidRDefault="007E0B76" w:rsidP="007E0B76"/>
    <w:p w:rsidR="007E0B76" w:rsidRDefault="00BE6773" w:rsidP="004614B2">
      <w:pPr>
        <w:pStyle w:val="Overskrift2"/>
        <w:rPr>
          <w:rFonts w:cs="Arial"/>
        </w:rPr>
      </w:pPr>
      <w:r>
        <w:rPr>
          <w:rFonts w:cs="Arial"/>
        </w:rPr>
        <w:t>Finansiering</w:t>
      </w:r>
    </w:p>
    <w:p w:rsidR="004614B2" w:rsidRDefault="004614B2" w:rsidP="004614B2">
      <w:pPr>
        <w:pStyle w:val="Overskrift2"/>
        <w:rPr>
          <w:rFonts w:cs="Arial"/>
        </w:rPr>
      </w:pPr>
      <w:r w:rsidRPr="00983DF0">
        <w:rPr>
          <w:rFonts w:cs="Arial"/>
        </w:rPr>
        <w:t>Økonomisk oversigt</w:t>
      </w:r>
      <w:bookmarkEnd w:id="15"/>
    </w:p>
    <w:p w:rsidR="00AB1B37" w:rsidRDefault="004614B2" w:rsidP="00AB1B37">
      <w:r w:rsidRPr="00272BEB">
        <w:t xml:space="preserve">Tabellen </w:t>
      </w:r>
      <w:r w:rsidR="00192FA5">
        <w:t>neden</w:t>
      </w:r>
      <w:r w:rsidR="00192FA5" w:rsidRPr="00272BEB">
        <w:t>for</w:t>
      </w:r>
      <w:r w:rsidRPr="00272BEB">
        <w:t xml:space="preserve"> viser </w:t>
      </w:r>
      <w:r>
        <w:t>budget og regnskab for finansiering inddelt på politisk udvalg og funktion.</w:t>
      </w:r>
    </w:p>
    <w:p w:rsidR="00192FA5" w:rsidRDefault="004614B2" w:rsidP="00AB1B37">
      <w:r>
        <w:t xml:space="preserve">Tabel 5. Finansiering – </w:t>
      </w:r>
      <w:r w:rsidR="00CC5015">
        <w:t>pr. politisk udvalg og funktion.</w:t>
      </w:r>
    </w:p>
    <w:tbl>
      <w:tblPr>
        <w:tblW w:w="5000" w:type="pct"/>
        <w:tblCellMar>
          <w:left w:w="0" w:type="dxa"/>
          <w:right w:w="0" w:type="dxa"/>
        </w:tblCellMar>
        <w:tblLook w:val="04A0" w:firstRow="1" w:lastRow="0" w:firstColumn="1" w:lastColumn="0" w:noHBand="0" w:noVBand="1"/>
      </w:tblPr>
      <w:tblGrid>
        <w:gridCol w:w="3626"/>
        <w:gridCol w:w="1113"/>
        <w:gridCol w:w="1113"/>
        <w:gridCol w:w="1259"/>
        <w:gridCol w:w="1113"/>
        <w:gridCol w:w="1113"/>
        <w:gridCol w:w="1119"/>
      </w:tblGrid>
      <w:tr w:rsidR="00A2010D" w:rsidRPr="00A2010D" w:rsidTr="00A2010D">
        <w:trPr>
          <w:trHeight w:val="900"/>
        </w:trPr>
        <w:tc>
          <w:tcPr>
            <w:tcW w:w="1734" w:type="pct"/>
            <w:tcBorders>
              <w:top w:val="single" w:sz="4" w:space="0" w:color="auto"/>
              <w:left w:val="single" w:sz="4" w:space="0" w:color="auto"/>
              <w:bottom w:val="single" w:sz="4" w:space="0" w:color="auto"/>
              <w:right w:val="single" w:sz="4" w:space="0" w:color="auto"/>
            </w:tcBorders>
            <w:shd w:val="clear" w:color="000000" w:fill="C5D9F1"/>
            <w:tcMar>
              <w:top w:w="15" w:type="dxa"/>
              <w:left w:w="15" w:type="dxa"/>
              <w:bottom w:w="0" w:type="dxa"/>
              <w:right w:w="15" w:type="dxa"/>
            </w:tcMar>
            <w:vAlign w:val="center"/>
            <w:hideMark/>
          </w:tcPr>
          <w:p w:rsidR="00A2010D" w:rsidRPr="00A2010D" w:rsidRDefault="00A2010D" w:rsidP="00A2010D">
            <w:pPr>
              <w:spacing w:after="0"/>
              <w:rPr>
                <w:rFonts w:eastAsia="Times New Roman" w:cs="Arial"/>
                <w:b/>
                <w:bCs/>
                <w:sz w:val="16"/>
                <w:szCs w:val="16"/>
                <w:lang w:eastAsia="da-DK"/>
              </w:rPr>
            </w:pPr>
            <w:r w:rsidRPr="00A2010D">
              <w:rPr>
                <w:rFonts w:eastAsia="Times New Roman" w:cs="Arial"/>
                <w:b/>
                <w:bCs/>
                <w:sz w:val="16"/>
                <w:szCs w:val="16"/>
                <w:lang w:eastAsia="da-DK"/>
              </w:rPr>
              <w:t xml:space="preserve">Samtlige udvalg - Finansiering - I 1.000 kr.                                       </w:t>
            </w:r>
          </w:p>
        </w:tc>
        <w:tc>
          <w:tcPr>
            <w:tcW w:w="532" w:type="pct"/>
            <w:tcBorders>
              <w:top w:val="single" w:sz="4" w:space="0" w:color="auto"/>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A2010D" w:rsidRPr="00A2010D" w:rsidRDefault="00A2010D" w:rsidP="00A2010D">
            <w:pPr>
              <w:spacing w:after="0"/>
              <w:jc w:val="center"/>
              <w:rPr>
                <w:rFonts w:eastAsia="Times New Roman" w:cs="Arial"/>
                <w:b/>
                <w:bCs/>
                <w:sz w:val="16"/>
                <w:szCs w:val="16"/>
                <w:lang w:eastAsia="da-DK"/>
              </w:rPr>
            </w:pPr>
            <w:r w:rsidRPr="00A2010D">
              <w:rPr>
                <w:rFonts w:eastAsia="Times New Roman" w:cs="Arial"/>
                <w:b/>
                <w:bCs/>
                <w:sz w:val="16"/>
                <w:szCs w:val="16"/>
                <w:lang w:eastAsia="da-DK"/>
              </w:rPr>
              <w:t>Regnskab</w:t>
            </w:r>
            <w:r w:rsidR="00EC581A">
              <w:rPr>
                <w:rFonts w:eastAsia="Times New Roman" w:cs="Arial"/>
                <w:b/>
                <w:bCs/>
                <w:sz w:val="16"/>
                <w:szCs w:val="16"/>
                <w:lang w:eastAsia="da-DK"/>
              </w:rPr>
              <w:t xml:space="preserve"> 2018</w:t>
            </w:r>
          </w:p>
        </w:tc>
        <w:tc>
          <w:tcPr>
            <w:tcW w:w="532" w:type="pct"/>
            <w:tcBorders>
              <w:top w:val="single" w:sz="4" w:space="0" w:color="auto"/>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A2010D" w:rsidRPr="00A2010D" w:rsidRDefault="00EC581A" w:rsidP="00A2010D">
            <w:pPr>
              <w:spacing w:after="0"/>
              <w:jc w:val="center"/>
              <w:rPr>
                <w:rFonts w:eastAsia="Times New Roman" w:cs="Arial"/>
                <w:b/>
                <w:bCs/>
                <w:sz w:val="16"/>
                <w:szCs w:val="16"/>
                <w:lang w:eastAsia="da-DK"/>
              </w:rPr>
            </w:pPr>
            <w:r>
              <w:rPr>
                <w:rFonts w:eastAsia="Times New Roman" w:cs="Arial"/>
                <w:b/>
                <w:bCs/>
                <w:sz w:val="16"/>
                <w:szCs w:val="16"/>
                <w:lang w:eastAsia="da-DK"/>
              </w:rPr>
              <w:t>Opr. v. Budget 2019</w:t>
            </w:r>
          </w:p>
        </w:tc>
        <w:tc>
          <w:tcPr>
            <w:tcW w:w="602" w:type="pct"/>
            <w:tcBorders>
              <w:top w:val="single" w:sz="4" w:space="0" w:color="auto"/>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A2010D" w:rsidRPr="00A2010D" w:rsidRDefault="00A2010D" w:rsidP="00A2010D">
            <w:pPr>
              <w:spacing w:after="0"/>
              <w:jc w:val="center"/>
              <w:rPr>
                <w:rFonts w:eastAsia="Times New Roman" w:cs="Arial"/>
                <w:b/>
                <w:bCs/>
                <w:sz w:val="16"/>
                <w:szCs w:val="16"/>
                <w:lang w:eastAsia="da-DK"/>
              </w:rPr>
            </w:pPr>
            <w:r w:rsidRPr="00A2010D">
              <w:rPr>
                <w:rFonts w:eastAsia="Times New Roman" w:cs="Arial"/>
                <w:b/>
                <w:bCs/>
                <w:sz w:val="16"/>
                <w:szCs w:val="16"/>
                <w:lang w:eastAsia="da-DK"/>
              </w:rPr>
              <w:t>Tillægsbevilling /Omplacering</w:t>
            </w:r>
          </w:p>
        </w:tc>
        <w:tc>
          <w:tcPr>
            <w:tcW w:w="532" w:type="pct"/>
            <w:tcBorders>
              <w:top w:val="single" w:sz="4" w:space="0" w:color="auto"/>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A2010D" w:rsidRPr="00A2010D" w:rsidRDefault="00A2010D" w:rsidP="00A2010D">
            <w:pPr>
              <w:spacing w:after="0"/>
              <w:jc w:val="center"/>
              <w:rPr>
                <w:rFonts w:eastAsia="Times New Roman" w:cs="Arial"/>
                <w:b/>
                <w:bCs/>
                <w:sz w:val="16"/>
                <w:szCs w:val="16"/>
                <w:lang w:eastAsia="da-DK"/>
              </w:rPr>
            </w:pPr>
            <w:r w:rsidRPr="00A2010D">
              <w:rPr>
                <w:rFonts w:eastAsia="Times New Roman" w:cs="Arial"/>
                <w:b/>
                <w:bCs/>
                <w:sz w:val="16"/>
                <w:szCs w:val="16"/>
                <w:lang w:eastAsia="da-DK"/>
              </w:rPr>
              <w:t>Korr. v. Budget</w:t>
            </w:r>
          </w:p>
        </w:tc>
        <w:tc>
          <w:tcPr>
            <w:tcW w:w="532" w:type="pct"/>
            <w:tcBorders>
              <w:top w:val="single" w:sz="4" w:space="0" w:color="auto"/>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A2010D" w:rsidRPr="00A2010D" w:rsidRDefault="00EC581A" w:rsidP="00A2010D">
            <w:pPr>
              <w:spacing w:after="0"/>
              <w:jc w:val="center"/>
              <w:rPr>
                <w:rFonts w:eastAsia="Times New Roman" w:cs="Arial"/>
                <w:b/>
                <w:bCs/>
                <w:sz w:val="16"/>
                <w:szCs w:val="16"/>
                <w:lang w:eastAsia="da-DK"/>
              </w:rPr>
            </w:pPr>
            <w:r>
              <w:rPr>
                <w:rFonts w:eastAsia="Times New Roman" w:cs="Arial"/>
                <w:b/>
                <w:bCs/>
                <w:sz w:val="16"/>
                <w:szCs w:val="16"/>
                <w:lang w:eastAsia="da-DK"/>
              </w:rPr>
              <w:t>Regnskab 2019</w:t>
            </w:r>
          </w:p>
        </w:tc>
        <w:tc>
          <w:tcPr>
            <w:tcW w:w="535" w:type="pct"/>
            <w:tcBorders>
              <w:top w:val="single" w:sz="4" w:space="0" w:color="auto"/>
              <w:left w:val="nil"/>
              <w:bottom w:val="single" w:sz="4" w:space="0" w:color="auto"/>
              <w:right w:val="single" w:sz="4" w:space="0" w:color="auto"/>
            </w:tcBorders>
            <w:shd w:val="clear" w:color="000000" w:fill="C5D9F1"/>
            <w:tcMar>
              <w:top w:w="15" w:type="dxa"/>
              <w:left w:w="15" w:type="dxa"/>
              <w:bottom w:w="0" w:type="dxa"/>
              <w:right w:w="15" w:type="dxa"/>
            </w:tcMar>
            <w:vAlign w:val="center"/>
            <w:hideMark/>
          </w:tcPr>
          <w:p w:rsidR="00A2010D" w:rsidRPr="00A2010D" w:rsidRDefault="00A2010D" w:rsidP="00A2010D">
            <w:pPr>
              <w:spacing w:after="0"/>
              <w:jc w:val="center"/>
              <w:rPr>
                <w:rFonts w:eastAsia="Times New Roman" w:cs="Arial"/>
                <w:b/>
                <w:bCs/>
                <w:sz w:val="16"/>
                <w:szCs w:val="16"/>
                <w:lang w:eastAsia="da-DK"/>
              </w:rPr>
            </w:pPr>
            <w:r w:rsidRPr="00A2010D">
              <w:rPr>
                <w:rFonts w:eastAsia="Times New Roman" w:cs="Arial"/>
                <w:b/>
                <w:bCs/>
                <w:sz w:val="16"/>
                <w:szCs w:val="16"/>
                <w:lang w:eastAsia="da-DK"/>
              </w:rPr>
              <w:t>Over-/underskud</w:t>
            </w:r>
          </w:p>
        </w:tc>
      </w:tr>
      <w:tr w:rsidR="00EC581A" w:rsidRPr="00A2010D" w:rsidTr="00A2010D">
        <w:tblPrEx>
          <w:tblCellMar>
            <w:left w:w="70" w:type="dxa"/>
            <w:right w:w="70" w:type="dxa"/>
          </w:tblCellMar>
        </w:tblPrEx>
        <w:trPr>
          <w:trHeight w:val="300"/>
        </w:trPr>
        <w:tc>
          <w:tcPr>
            <w:tcW w:w="1734" w:type="pct"/>
            <w:tcBorders>
              <w:top w:val="nil"/>
              <w:left w:val="single" w:sz="4" w:space="0" w:color="auto"/>
              <w:bottom w:val="single" w:sz="4" w:space="0" w:color="auto"/>
              <w:right w:val="single" w:sz="4" w:space="0" w:color="auto"/>
            </w:tcBorders>
            <w:shd w:val="clear" w:color="auto" w:fill="auto"/>
            <w:noWrap/>
            <w:vAlign w:val="bottom"/>
            <w:hideMark/>
          </w:tcPr>
          <w:p w:rsidR="00EC581A" w:rsidRPr="00A2010D" w:rsidRDefault="00EC581A" w:rsidP="00EC581A">
            <w:pPr>
              <w:spacing w:after="0"/>
              <w:ind w:firstLineChars="100" w:firstLine="160"/>
              <w:rPr>
                <w:rFonts w:eastAsia="Times New Roman" w:cs="Arial"/>
                <w:b/>
                <w:bCs/>
                <w:color w:val="000000"/>
                <w:sz w:val="16"/>
                <w:szCs w:val="16"/>
                <w:lang w:eastAsia="da-DK"/>
              </w:rPr>
            </w:pPr>
            <w:r w:rsidRPr="00A2010D">
              <w:rPr>
                <w:rFonts w:eastAsia="Times New Roman" w:cs="Arial"/>
                <w:b/>
                <w:bCs/>
                <w:color w:val="000000"/>
                <w:sz w:val="16"/>
                <w:szCs w:val="16"/>
                <w:lang w:eastAsia="da-DK"/>
              </w:rPr>
              <w:t>1 Økonomiudvalget</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jc w:val="right"/>
              <w:rPr>
                <w:rFonts w:eastAsia="Times New Roman" w:cs="Arial"/>
                <w:b/>
                <w:bCs/>
                <w:color w:val="000000"/>
                <w:sz w:val="16"/>
                <w:szCs w:val="16"/>
                <w:lang w:eastAsia="da-DK"/>
              </w:rPr>
            </w:pPr>
            <w:r w:rsidRPr="00A2010D">
              <w:rPr>
                <w:rFonts w:eastAsia="Times New Roman" w:cs="Arial"/>
                <w:b/>
                <w:bCs/>
                <w:color w:val="000000"/>
                <w:sz w:val="16"/>
                <w:szCs w:val="16"/>
                <w:lang w:eastAsia="da-DK"/>
              </w:rPr>
              <w:t>-2.776.416</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9610B1" w:rsidP="00EC581A">
            <w:pPr>
              <w:spacing w:after="0"/>
              <w:jc w:val="right"/>
              <w:rPr>
                <w:rFonts w:eastAsia="Times New Roman" w:cs="Arial"/>
                <w:b/>
                <w:bCs/>
                <w:color w:val="000000"/>
                <w:sz w:val="16"/>
                <w:szCs w:val="16"/>
                <w:lang w:eastAsia="da-DK"/>
              </w:rPr>
            </w:pPr>
            <w:r>
              <w:rPr>
                <w:rFonts w:eastAsia="Times New Roman" w:cs="Arial"/>
                <w:b/>
                <w:bCs/>
                <w:color w:val="000000"/>
                <w:sz w:val="16"/>
                <w:szCs w:val="16"/>
                <w:lang w:eastAsia="da-DK"/>
              </w:rPr>
              <w:t>-2.872.219</w:t>
            </w:r>
          </w:p>
        </w:tc>
        <w:tc>
          <w:tcPr>
            <w:tcW w:w="60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jc w:val="right"/>
              <w:rPr>
                <w:rFonts w:eastAsia="Times New Roman" w:cs="Arial"/>
                <w:b/>
                <w:bCs/>
                <w:color w:val="000000"/>
                <w:sz w:val="16"/>
                <w:szCs w:val="16"/>
                <w:lang w:eastAsia="da-DK"/>
              </w:rPr>
            </w:pPr>
            <w:r>
              <w:rPr>
                <w:rFonts w:eastAsia="Times New Roman" w:cs="Arial"/>
                <w:b/>
                <w:bCs/>
                <w:color w:val="000000"/>
                <w:sz w:val="16"/>
                <w:szCs w:val="16"/>
                <w:lang w:eastAsia="da-DK"/>
              </w:rPr>
              <w:t>-885</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9610B1" w:rsidP="000C11C3">
            <w:pPr>
              <w:spacing w:after="0"/>
              <w:jc w:val="right"/>
              <w:rPr>
                <w:rFonts w:eastAsia="Times New Roman" w:cs="Arial"/>
                <w:b/>
                <w:bCs/>
                <w:color w:val="000000"/>
                <w:sz w:val="16"/>
                <w:szCs w:val="16"/>
                <w:lang w:eastAsia="da-DK"/>
              </w:rPr>
            </w:pPr>
            <w:r>
              <w:rPr>
                <w:rFonts w:eastAsia="Times New Roman" w:cs="Arial"/>
                <w:b/>
                <w:bCs/>
                <w:color w:val="000000"/>
                <w:sz w:val="16"/>
                <w:szCs w:val="16"/>
                <w:lang w:eastAsia="da-DK"/>
              </w:rPr>
              <w:t>-2.873.104</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jc w:val="right"/>
              <w:rPr>
                <w:rFonts w:eastAsia="Times New Roman" w:cs="Arial"/>
                <w:b/>
                <w:bCs/>
                <w:color w:val="000000"/>
                <w:sz w:val="16"/>
                <w:szCs w:val="16"/>
                <w:lang w:eastAsia="da-DK"/>
              </w:rPr>
            </w:pPr>
            <w:r w:rsidRPr="00A2010D">
              <w:rPr>
                <w:rFonts w:eastAsia="Times New Roman" w:cs="Arial"/>
                <w:b/>
                <w:bCs/>
                <w:color w:val="000000"/>
                <w:sz w:val="16"/>
                <w:szCs w:val="16"/>
                <w:lang w:eastAsia="da-DK"/>
              </w:rPr>
              <w:t>-2.</w:t>
            </w:r>
            <w:r w:rsidR="003169E2">
              <w:rPr>
                <w:rFonts w:eastAsia="Times New Roman" w:cs="Arial"/>
                <w:b/>
                <w:bCs/>
                <w:color w:val="000000"/>
                <w:sz w:val="16"/>
                <w:szCs w:val="16"/>
                <w:lang w:eastAsia="da-DK"/>
              </w:rPr>
              <w:t>864.881</w:t>
            </w:r>
          </w:p>
        </w:tc>
        <w:tc>
          <w:tcPr>
            <w:tcW w:w="535" w:type="pct"/>
            <w:tcBorders>
              <w:top w:val="nil"/>
              <w:left w:val="nil"/>
              <w:bottom w:val="single" w:sz="4" w:space="0" w:color="auto"/>
              <w:right w:val="single" w:sz="4" w:space="0" w:color="auto"/>
            </w:tcBorders>
            <w:shd w:val="clear" w:color="auto" w:fill="auto"/>
            <w:noWrap/>
            <w:vAlign w:val="bottom"/>
            <w:hideMark/>
          </w:tcPr>
          <w:p w:rsidR="00EC581A" w:rsidRPr="00A2010D" w:rsidRDefault="009610B1" w:rsidP="00EC581A">
            <w:pPr>
              <w:spacing w:after="0"/>
              <w:jc w:val="right"/>
              <w:rPr>
                <w:rFonts w:eastAsia="Times New Roman" w:cs="Arial"/>
                <w:b/>
                <w:bCs/>
                <w:color w:val="000000"/>
                <w:sz w:val="16"/>
                <w:szCs w:val="16"/>
                <w:lang w:eastAsia="da-DK"/>
              </w:rPr>
            </w:pPr>
            <w:r>
              <w:rPr>
                <w:rFonts w:eastAsia="Times New Roman" w:cs="Arial"/>
                <w:b/>
                <w:bCs/>
                <w:color w:val="000000"/>
                <w:sz w:val="16"/>
                <w:szCs w:val="16"/>
                <w:lang w:eastAsia="da-DK"/>
              </w:rPr>
              <w:t>-8.223</w:t>
            </w:r>
          </w:p>
        </w:tc>
      </w:tr>
      <w:tr w:rsidR="00EC581A" w:rsidRPr="000C11C3" w:rsidTr="0055395B">
        <w:tblPrEx>
          <w:tblCellMar>
            <w:left w:w="70" w:type="dxa"/>
            <w:right w:w="70" w:type="dxa"/>
          </w:tblCellMar>
        </w:tblPrEx>
        <w:trPr>
          <w:trHeight w:val="300"/>
        </w:trPr>
        <w:tc>
          <w:tcPr>
            <w:tcW w:w="1734" w:type="pct"/>
            <w:tcBorders>
              <w:top w:val="nil"/>
              <w:left w:val="single" w:sz="4" w:space="0" w:color="auto"/>
              <w:bottom w:val="single" w:sz="4" w:space="0" w:color="auto"/>
              <w:right w:val="single" w:sz="4" w:space="0" w:color="auto"/>
            </w:tcBorders>
            <w:shd w:val="clear" w:color="auto" w:fill="auto"/>
            <w:noWrap/>
            <w:vAlign w:val="bottom"/>
            <w:hideMark/>
          </w:tcPr>
          <w:p w:rsidR="00EC581A" w:rsidRPr="00A2010D" w:rsidRDefault="00EC581A" w:rsidP="00EC581A">
            <w:pPr>
              <w:spacing w:after="0"/>
              <w:ind w:firstLineChars="200" w:firstLine="320"/>
              <w:rPr>
                <w:rFonts w:eastAsia="Times New Roman" w:cs="Arial"/>
                <w:color w:val="000000"/>
                <w:sz w:val="16"/>
                <w:szCs w:val="16"/>
                <w:lang w:eastAsia="da-DK"/>
              </w:rPr>
            </w:pPr>
            <w:r w:rsidRPr="00A2010D">
              <w:rPr>
                <w:rFonts w:eastAsia="Times New Roman" w:cs="Arial"/>
                <w:color w:val="000000"/>
                <w:sz w:val="16"/>
                <w:szCs w:val="16"/>
                <w:lang w:eastAsia="da-DK"/>
              </w:rPr>
              <w:t>07 Renter, tilskud, udligning, skatter m.v.</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jc w:val="right"/>
              <w:rPr>
                <w:rFonts w:eastAsia="Times New Roman" w:cs="Arial"/>
                <w:color w:val="000000"/>
                <w:sz w:val="16"/>
                <w:szCs w:val="16"/>
                <w:lang w:eastAsia="da-DK"/>
              </w:rPr>
            </w:pPr>
            <w:r w:rsidRPr="00A2010D">
              <w:rPr>
                <w:rFonts w:eastAsia="Times New Roman" w:cs="Arial"/>
                <w:color w:val="000000"/>
                <w:sz w:val="16"/>
                <w:szCs w:val="16"/>
                <w:lang w:eastAsia="da-DK"/>
              </w:rPr>
              <w:t>-2.776.416</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jc w:val="right"/>
              <w:rPr>
                <w:rFonts w:eastAsia="Times New Roman" w:cs="Arial"/>
                <w:color w:val="000000"/>
                <w:sz w:val="16"/>
                <w:szCs w:val="16"/>
                <w:lang w:eastAsia="da-DK"/>
              </w:rPr>
            </w:pPr>
            <w:r>
              <w:rPr>
                <w:rFonts w:eastAsia="Times New Roman" w:cs="Arial"/>
                <w:color w:val="000000"/>
                <w:sz w:val="16"/>
                <w:szCs w:val="16"/>
                <w:lang w:eastAsia="da-DK"/>
              </w:rPr>
              <w:t>-2.868.919</w:t>
            </w:r>
          </w:p>
        </w:tc>
        <w:tc>
          <w:tcPr>
            <w:tcW w:w="60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rPr>
                <w:rFonts w:eastAsia="Times New Roman" w:cs="Arial"/>
                <w:color w:val="000000"/>
                <w:sz w:val="16"/>
                <w:szCs w:val="16"/>
                <w:lang w:eastAsia="da-DK"/>
              </w:rPr>
            </w:pPr>
            <w:r w:rsidRPr="00A2010D">
              <w:rPr>
                <w:rFonts w:eastAsia="Times New Roman" w:cs="Arial"/>
                <w:color w:val="000000"/>
                <w:sz w:val="16"/>
                <w:szCs w:val="16"/>
                <w:lang w:eastAsia="da-DK"/>
              </w:rPr>
              <w:t> </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0C11C3">
            <w:pPr>
              <w:spacing w:after="0"/>
              <w:jc w:val="right"/>
              <w:rPr>
                <w:rFonts w:eastAsia="Times New Roman" w:cs="Arial"/>
                <w:color w:val="000000"/>
                <w:sz w:val="16"/>
                <w:szCs w:val="16"/>
                <w:lang w:eastAsia="da-DK"/>
              </w:rPr>
            </w:pPr>
            <w:r w:rsidRPr="00A2010D">
              <w:rPr>
                <w:rFonts w:eastAsia="Times New Roman" w:cs="Arial"/>
                <w:color w:val="000000"/>
                <w:sz w:val="16"/>
                <w:szCs w:val="16"/>
                <w:lang w:eastAsia="da-DK"/>
              </w:rPr>
              <w:t>-2.</w:t>
            </w:r>
            <w:r w:rsidR="000C11C3">
              <w:rPr>
                <w:rFonts w:eastAsia="Times New Roman" w:cs="Arial"/>
                <w:color w:val="000000"/>
                <w:sz w:val="16"/>
                <w:szCs w:val="16"/>
                <w:lang w:eastAsia="da-DK"/>
              </w:rPr>
              <w:t>869.804</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jc w:val="right"/>
              <w:rPr>
                <w:rFonts w:eastAsia="Times New Roman" w:cs="Arial"/>
                <w:color w:val="000000"/>
                <w:sz w:val="16"/>
                <w:szCs w:val="16"/>
                <w:lang w:eastAsia="da-DK"/>
              </w:rPr>
            </w:pPr>
            <w:r w:rsidRPr="00A2010D">
              <w:rPr>
                <w:rFonts w:eastAsia="Times New Roman" w:cs="Arial"/>
                <w:color w:val="000000"/>
                <w:sz w:val="16"/>
                <w:szCs w:val="16"/>
                <w:lang w:eastAsia="da-DK"/>
              </w:rPr>
              <w:t>-2.</w:t>
            </w:r>
            <w:r w:rsidR="003169E2">
              <w:rPr>
                <w:rFonts w:eastAsia="Times New Roman" w:cs="Arial"/>
                <w:color w:val="000000"/>
                <w:sz w:val="16"/>
                <w:szCs w:val="16"/>
                <w:lang w:eastAsia="da-DK"/>
              </w:rPr>
              <w:t>864.881</w:t>
            </w:r>
          </w:p>
        </w:tc>
        <w:tc>
          <w:tcPr>
            <w:tcW w:w="535" w:type="pct"/>
            <w:tcBorders>
              <w:top w:val="nil"/>
              <w:left w:val="nil"/>
              <w:bottom w:val="single" w:sz="4" w:space="0" w:color="auto"/>
              <w:right w:val="single" w:sz="4" w:space="0" w:color="auto"/>
            </w:tcBorders>
            <w:shd w:val="clear" w:color="auto" w:fill="auto"/>
            <w:noWrap/>
            <w:vAlign w:val="bottom"/>
          </w:tcPr>
          <w:p w:rsidR="00EC581A" w:rsidRPr="000C11C3" w:rsidRDefault="00EC581A" w:rsidP="00EC581A">
            <w:pPr>
              <w:spacing w:after="0"/>
              <w:jc w:val="right"/>
              <w:rPr>
                <w:rFonts w:eastAsia="Times New Roman" w:cs="Arial"/>
                <w:color w:val="000000"/>
                <w:sz w:val="16"/>
                <w:szCs w:val="16"/>
                <w:lang w:eastAsia="da-DK"/>
              </w:rPr>
            </w:pPr>
          </w:p>
        </w:tc>
      </w:tr>
      <w:tr w:rsidR="00EC581A" w:rsidRPr="00A2010D" w:rsidTr="0055395B">
        <w:tblPrEx>
          <w:tblCellMar>
            <w:left w:w="70" w:type="dxa"/>
            <w:right w:w="70" w:type="dxa"/>
          </w:tblCellMar>
        </w:tblPrEx>
        <w:trPr>
          <w:trHeight w:val="300"/>
        </w:trPr>
        <w:tc>
          <w:tcPr>
            <w:tcW w:w="1734" w:type="pct"/>
            <w:tcBorders>
              <w:top w:val="nil"/>
              <w:left w:val="single" w:sz="4" w:space="0" w:color="auto"/>
              <w:bottom w:val="single" w:sz="4" w:space="0" w:color="auto"/>
              <w:right w:val="single" w:sz="4" w:space="0" w:color="auto"/>
            </w:tcBorders>
            <w:shd w:val="clear" w:color="auto" w:fill="auto"/>
            <w:noWrap/>
            <w:vAlign w:val="bottom"/>
            <w:hideMark/>
          </w:tcPr>
          <w:p w:rsidR="00EC581A" w:rsidRPr="00A2010D" w:rsidRDefault="00EC581A" w:rsidP="00EC581A">
            <w:pPr>
              <w:spacing w:after="0"/>
              <w:ind w:firstLineChars="300" w:firstLine="480"/>
              <w:rPr>
                <w:rFonts w:eastAsia="Times New Roman" w:cs="Arial"/>
                <w:color w:val="000000"/>
                <w:sz w:val="16"/>
                <w:szCs w:val="16"/>
                <w:lang w:eastAsia="da-DK"/>
              </w:rPr>
            </w:pPr>
            <w:r w:rsidRPr="00A2010D">
              <w:rPr>
                <w:rFonts w:eastAsia="Times New Roman" w:cs="Arial"/>
                <w:color w:val="000000"/>
                <w:sz w:val="16"/>
                <w:szCs w:val="16"/>
                <w:lang w:eastAsia="da-DK"/>
              </w:rPr>
              <w:t>62 Tilskud og udligning</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jc w:val="right"/>
              <w:rPr>
                <w:rFonts w:eastAsia="Times New Roman" w:cs="Arial"/>
                <w:color w:val="000000"/>
                <w:sz w:val="16"/>
                <w:szCs w:val="16"/>
                <w:lang w:eastAsia="da-DK"/>
              </w:rPr>
            </w:pPr>
            <w:r w:rsidRPr="00A2010D">
              <w:rPr>
                <w:rFonts w:eastAsia="Times New Roman" w:cs="Arial"/>
                <w:color w:val="000000"/>
                <w:sz w:val="16"/>
                <w:szCs w:val="16"/>
                <w:lang w:eastAsia="da-DK"/>
              </w:rPr>
              <w:t>-1.080.908</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jc w:val="right"/>
              <w:rPr>
                <w:rFonts w:eastAsia="Times New Roman" w:cs="Arial"/>
                <w:color w:val="000000"/>
                <w:sz w:val="16"/>
                <w:szCs w:val="16"/>
                <w:lang w:eastAsia="da-DK"/>
              </w:rPr>
            </w:pPr>
            <w:r>
              <w:rPr>
                <w:rFonts w:eastAsia="Times New Roman" w:cs="Arial"/>
                <w:color w:val="000000"/>
                <w:sz w:val="16"/>
                <w:szCs w:val="16"/>
                <w:lang w:eastAsia="da-DK"/>
              </w:rPr>
              <w:t>-1.135.207</w:t>
            </w:r>
          </w:p>
        </w:tc>
        <w:tc>
          <w:tcPr>
            <w:tcW w:w="60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jc w:val="right"/>
              <w:rPr>
                <w:rFonts w:eastAsia="Times New Roman" w:cs="Arial"/>
                <w:color w:val="000000"/>
                <w:sz w:val="16"/>
                <w:szCs w:val="16"/>
                <w:lang w:eastAsia="da-DK"/>
              </w:rPr>
            </w:pP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jc w:val="right"/>
              <w:rPr>
                <w:rFonts w:eastAsia="Times New Roman" w:cs="Arial"/>
                <w:color w:val="000000"/>
                <w:sz w:val="16"/>
                <w:szCs w:val="16"/>
                <w:lang w:eastAsia="da-DK"/>
              </w:rPr>
            </w:pPr>
            <w:r w:rsidRPr="00A2010D">
              <w:rPr>
                <w:rFonts w:eastAsia="Times New Roman" w:cs="Arial"/>
                <w:color w:val="000000"/>
                <w:sz w:val="16"/>
                <w:szCs w:val="16"/>
                <w:lang w:eastAsia="da-DK"/>
              </w:rPr>
              <w:t>-1.</w:t>
            </w:r>
            <w:r>
              <w:rPr>
                <w:rFonts w:eastAsia="Times New Roman" w:cs="Arial"/>
                <w:color w:val="000000"/>
                <w:sz w:val="16"/>
                <w:szCs w:val="16"/>
                <w:lang w:eastAsia="da-DK"/>
              </w:rPr>
              <w:t>136.092</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jc w:val="right"/>
              <w:rPr>
                <w:rFonts w:eastAsia="Times New Roman" w:cs="Arial"/>
                <w:color w:val="000000"/>
                <w:sz w:val="16"/>
                <w:szCs w:val="16"/>
                <w:lang w:eastAsia="da-DK"/>
              </w:rPr>
            </w:pPr>
            <w:r w:rsidRPr="00A2010D">
              <w:rPr>
                <w:rFonts w:eastAsia="Times New Roman" w:cs="Arial"/>
                <w:color w:val="000000"/>
                <w:sz w:val="16"/>
                <w:szCs w:val="16"/>
                <w:lang w:eastAsia="da-DK"/>
              </w:rPr>
              <w:t>-1.</w:t>
            </w:r>
            <w:r w:rsidR="00C44024">
              <w:rPr>
                <w:rFonts w:eastAsia="Times New Roman" w:cs="Arial"/>
                <w:color w:val="000000"/>
                <w:sz w:val="16"/>
                <w:szCs w:val="16"/>
                <w:lang w:eastAsia="da-DK"/>
              </w:rPr>
              <w:t>137</w:t>
            </w:r>
            <w:r>
              <w:rPr>
                <w:rFonts w:eastAsia="Times New Roman" w:cs="Arial"/>
                <w:color w:val="000000"/>
                <w:sz w:val="16"/>
                <w:szCs w:val="16"/>
                <w:lang w:eastAsia="da-DK"/>
              </w:rPr>
              <w:t>.</w:t>
            </w:r>
            <w:r w:rsidR="00E6575B">
              <w:rPr>
                <w:rFonts w:eastAsia="Times New Roman" w:cs="Arial"/>
                <w:color w:val="000000"/>
                <w:sz w:val="16"/>
                <w:szCs w:val="16"/>
                <w:lang w:eastAsia="da-DK"/>
              </w:rPr>
              <w:t>257</w:t>
            </w:r>
          </w:p>
        </w:tc>
        <w:tc>
          <w:tcPr>
            <w:tcW w:w="535" w:type="pct"/>
            <w:tcBorders>
              <w:top w:val="nil"/>
              <w:left w:val="nil"/>
              <w:bottom w:val="single" w:sz="4" w:space="0" w:color="auto"/>
              <w:right w:val="single" w:sz="4" w:space="0" w:color="auto"/>
            </w:tcBorders>
            <w:shd w:val="clear" w:color="auto" w:fill="auto"/>
            <w:noWrap/>
            <w:vAlign w:val="bottom"/>
          </w:tcPr>
          <w:p w:rsidR="00EC581A" w:rsidRPr="00A2010D" w:rsidRDefault="00E6575B" w:rsidP="00EC581A">
            <w:pPr>
              <w:spacing w:after="0"/>
              <w:jc w:val="right"/>
              <w:rPr>
                <w:rFonts w:eastAsia="Times New Roman" w:cs="Arial"/>
                <w:color w:val="000000"/>
                <w:sz w:val="16"/>
                <w:szCs w:val="16"/>
                <w:lang w:eastAsia="da-DK"/>
              </w:rPr>
            </w:pPr>
            <w:r>
              <w:rPr>
                <w:rFonts w:eastAsia="Times New Roman" w:cs="Arial"/>
                <w:color w:val="000000"/>
                <w:sz w:val="16"/>
                <w:szCs w:val="16"/>
                <w:lang w:eastAsia="da-DK"/>
              </w:rPr>
              <w:t>1.165</w:t>
            </w:r>
          </w:p>
        </w:tc>
      </w:tr>
      <w:tr w:rsidR="00EC581A" w:rsidRPr="00A2010D" w:rsidTr="0055395B">
        <w:tblPrEx>
          <w:tblCellMar>
            <w:left w:w="70" w:type="dxa"/>
            <w:right w:w="70" w:type="dxa"/>
          </w:tblCellMar>
        </w:tblPrEx>
        <w:trPr>
          <w:trHeight w:val="300"/>
        </w:trPr>
        <w:tc>
          <w:tcPr>
            <w:tcW w:w="1734" w:type="pct"/>
            <w:tcBorders>
              <w:top w:val="nil"/>
              <w:left w:val="single" w:sz="4" w:space="0" w:color="auto"/>
              <w:bottom w:val="single" w:sz="4" w:space="0" w:color="auto"/>
              <w:right w:val="single" w:sz="4" w:space="0" w:color="auto"/>
            </w:tcBorders>
            <w:shd w:val="clear" w:color="auto" w:fill="auto"/>
            <w:noWrap/>
            <w:vAlign w:val="bottom"/>
            <w:hideMark/>
          </w:tcPr>
          <w:p w:rsidR="00EC581A" w:rsidRPr="00A2010D" w:rsidRDefault="00EC581A" w:rsidP="00EC581A">
            <w:pPr>
              <w:spacing w:after="0"/>
              <w:ind w:firstLineChars="300" w:firstLine="480"/>
              <w:rPr>
                <w:rFonts w:eastAsia="Times New Roman" w:cs="Arial"/>
                <w:color w:val="000000"/>
                <w:sz w:val="16"/>
                <w:szCs w:val="16"/>
                <w:lang w:eastAsia="da-DK"/>
              </w:rPr>
            </w:pPr>
            <w:r w:rsidRPr="00A2010D">
              <w:rPr>
                <w:rFonts w:eastAsia="Times New Roman" w:cs="Arial"/>
                <w:color w:val="000000"/>
                <w:sz w:val="16"/>
                <w:szCs w:val="16"/>
                <w:lang w:eastAsia="da-DK"/>
              </w:rPr>
              <w:t>65 Refusion af købsmoms</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jc w:val="right"/>
              <w:rPr>
                <w:rFonts w:eastAsia="Times New Roman" w:cs="Arial"/>
                <w:color w:val="000000"/>
                <w:sz w:val="16"/>
                <w:szCs w:val="16"/>
                <w:lang w:eastAsia="da-DK"/>
              </w:rPr>
            </w:pP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rPr>
                <w:rFonts w:eastAsia="Times New Roman" w:cs="Arial"/>
                <w:color w:val="000000"/>
                <w:sz w:val="16"/>
                <w:szCs w:val="16"/>
                <w:lang w:eastAsia="da-DK"/>
              </w:rPr>
            </w:pPr>
            <w:r w:rsidRPr="00A2010D">
              <w:rPr>
                <w:rFonts w:eastAsia="Times New Roman" w:cs="Arial"/>
                <w:color w:val="000000"/>
                <w:sz w:val="16"/>
                <w:szCs w:val="16"/>
                <w:lang w:eastAsia="da-DK"/>
              </w:rPr>
              <w:t> </w:t>
            </w:r>
          </w:p>
        </w:tc>
        <w:tc>
          <w:tcPr>
            <w:tcW w:w="60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rPr>
                <w:rFonts w:eastAsia="Times New Roman" w:cs="Arial"/>
                <w:color w:val="000000"/>
                <w:sz w:val="16"/>
                <w:szCs w:val="16"/>
                <w:lang w:eastAsia="da-DK"/>
              </w:rPr>
            </w:pPr>
            <w:r w:rsidRPr="00A2010D">
              <w:rPr>
                <w:rFonts w:eastAsia="Times New Roman" w:cs="Arial"/>
                <w:color w:val="000000"/>
                <w:sz w:val="16"/>
                <w:szCs w:val="16"/>
                <w:lang w:eastAsia="da-DK"/>
              </w:rPr>
              <w:t> </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rPr>
                <w:rFonts w:eastAsia="Times New Roman" w:cs="Arial"/>
                <w:color w:val="000000"/>
                <w:sz w:val="16"/>
                <w:szCs w:val="16"/>
                <w:lang w:eastAsia="da-DK"/>
              </w:rPr>
            </w:pPr>
            <w:r w:rsidRPr="00A2010D">
              <w:rPr>
                <w:rFonts w:eastAsia="Times New Roman" w:cs="Arial"/>
                <w:color w:val="000000"/>
                <w:sz w:val="16"/>
                <w:szCs w:val="16"/>
                <w:lang w:eastAsia="da-DK"/>
              </w:rPr>
              <w:t> </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3169E2" w:rsidP="00EC581A">
            <w:pPr>
              <w:spacing w:after="0"/>
              <w:jc w:val="right"/>
              <w:rPr>
                <w:rFonts w:eastAsia="Times New Roman" w:cs="Arial"/>
                <w:color w:val="000000"/>
                <w:sz w:val="16"/>
                <w:szCs w:val="16"/>
                <w:lang w:eastAsia="da-DK"/>
              </w:rPr>
            </w:pPr>
            <w:r>
              <w:rPr>
                <w:rFonts w:eastAsia="Times New Roman" w:cs="Arial"/>
                <w:color w:val="000000"/>
                <w:sz w:val="16"/>
                <w:szCs w:val="16"/>
                <w:lang w:eastAsia="da-DK"/>
              </w:rPr>
              <w:t>3.1</w:t>
            </w:r>
            <w:r w:rsidR="009E71A0">
              <w:rPr>
                <w:rFonts w:eastAsia="Times New Roman" w:cs="Arial"/>
                <w:color w:val="000000"/>
                <w:sz w:val="16"/>
                <w:szCs w:val="16"/>
                <w:lang w:eastAsia="da-DK"/>
              </w:rPr>
              <w:t>6</w:t>
            </w:r>
            <w:r>
              <w:rPr>
                <w:rFonts w:eastAsia="Times New Roman" w:cs="Arial"/>
                <w:color w:val="000000"/>
                <w:sz w:val="16"/>
                <w:szCs w:val="16"/>
                <w:lang w:eastAsia="da-DK"/>
              </w:rPr>
              <w:t>2</w:t>
            </w:r>
          </w:p>
        </w:tc>
        <w:tc>
          <w:tcPr>
            <w:tcW w:w="535" w:type="pct"/>
            <w:tcBorders>
              <w:top w:val="nil"/>
              <w:left w:val="nil"/>
              <w:bottom w:val="single" w:sz="4" w:space="0" w:color="auto"/>
              <w:right w:val="single" w:sz="4" w:space="0" w:color="auto"/>
            </w:tcBorders>
            <w:shd w:val="clear" w:color="auto" w:fill="auto"/>
            <w:noWrap/>
            <w:vAlign w:val="bottom"/>
          </w:tcPr>
          <w:p w:rsidR="00EC581A" w:rsidRPr="00A2010D" w:rsidRDefault="000C11C3" w:rsidP="00EC581A">
            <w:pPr>
              <w:spacing w:after="0"/>
              <w:jc w:val="right"/>
              <w:rPr>
                <w:rFonts w:eastAsia="Times New Roman" w:cs="Arial"/>
                <w:color w:val="000000"/>
                <w:sz w:val="16"/>
                <w:szCs w:val="16"/>
                <w:lang w:eastAsia="da-DK"/>
              </w:rPr>
            </w:pPr>
            <w:r>
              <w:rPr>
                <w:rFonts w:eastAsia="Times New Roman" w:cs="Arial"/>
                <w:color w:val="000000"/>
                <w:sz w:val="16"/>
                <w:szCs w:val="16"/>
                <w:lang w:eastAsia="da-DK"/>
              </w:rPr>
              <w:t>-3.1</w:t>
            </w:r>
            <w:r w:rsidR="009E71A0">
              <w:rPr>
                <w:rFonts w:eastAsia="Times New Roman" w:cs="Arial"/>
                <w:color w:val="000000"/>
                <w:sz w:val="16"/>
                <w:szCs w:val="16"/>
                <w:lang w:eastAsia="da-DK"/>
              </w:rPr>
              <w:t>6</w:t>
            </w:r>
            <w:r>
              <w:rPr>
                <w:rFonts w:eastAsia="Times New Roman" w:cs="Arial"/>
                <w:color w:val="000000"/>
                <w:sz w:val="16"/>
                <w:szCs w:val="16"/>
                <w:lang w:eastAsia="da-DK"/>
              </w:rPr>
              <w:t>2</w:t>
            </w:r>
          </w:p>
        </w:tc>
      </w:tr>
      <w:tr w:rsidR="00EC581A" w:rsidRPr="00A2010D" w:rsidTr="0055395B">
        <w:tblPrEx>
          <w:tblCellMar>
            <w:left w:w="70" w:type="dxa"/>
            <w:right w:w="70" w:type="dxa"/>
          </w:tblCellMar>
        </w:tblPrEx>
        <w:trPr>
          <w:trHeight w:val="300"/>
        </w:trPr>
        <w:tc>
          <w:tcPr>
            <w:tcW w:w="1734" w:type="pct"/>
            <w:tcBorders>
              <w:top w:val="nil"/>
              <w:left w:val="single" w:sz="4" w:space="0" w:color="auto"/>
              <w:bottom w:val="single" w:sz="4" w:space="0" w:color="auto"/>
              <w:right w:val="single" w:sz="4" w:space="0" w:color="auto"/>
            </w:tcBorders>
            <w:shd w:val="clear" w:color="auto" w:fill="auto"/>
            <w:noWrap/>
            <w:vAlign w:val="bottom"/>
            <w:hideMark/>
          </w:tcPr>
          <w:p w:rsidR="00EC581A" w:rsidRPr="00A2010D" w:rsidRDefault="00EC581A" w:rsidP="00EC581A">
            <w:pPr>
              <w:spacing w:after="0"/>
              <w:ind w:firstLineChars="300" w:firstLine="480"/>
              <w:rPr>
                <w:rFonts w:eastAsia="Times New Roman" w:cs="Arial"/>
                <w:color w:val="000000"/>
                <w:sz w:val="16"/>
                <w:szCs w:val="16"/>
                <w:lang w:eastAsia="da-DK"/>
              </w:rPr>
            </w:pPr>
            <w:r w:rsidRPr="00A2010D">
              <w:rPr>
                <w:rFonts w:eastAsia="Times New Roman" w:cs="Arial"/>
                <w:color w:val="000000"/>
                <w:sz w:val="16"/>
                <w:szCs w:val="16"/>
                <w:lang w:eastAsia="da-DK"/>
              </w:rPr>
              <w:t>68 Skatter</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jc w:val="right"/>
              <w:rPr>
                <w:rFonts w:eastAsia="Times New Roman" w:cs="Arial"/>
                <w:color w:val="000000"/>
                <w:sz w:val="16"/>
                <w:szCs w:val="16"/>
                <w:lang w:eastAsia="da-DK"/>
              </w:rPr>
            </w:pPr>
            <w:r w:rsidRPr="00A2010D">
              <w:rPr>
                <w:rFonts w:eastAsia="Times New Roman" w:cs="Arial"/>
                <w:color w:val="000000"/>
                <w:sz w:val="16"/>
                <w:szCs w:val="16"/>
                <w:lang w:eastAsia="da-DK"/>
              </w:rPr>
              <w:t>-1.695.941</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jc w:val="right"/>
              <w:rPr>
                <w:rFonts w:eastAsia="Times New Roman" w:cs="Arial"/>
                <w:color w:val="000000"/>
                <w:sz w:val="16"/>
                <w:szCs w:val="16"/>
                <w:lang w:eastAsia="da-DK"/>
              </w:rPr>
            </w:pPr>
            <w:r>
              <w:rPr>
                <w:rFonts w:eastAsia="Times New Roman" w:cs="Arial"/>
                <w:color w:val="000000"/>
                <w:sz w:val="16"/>
                <w:szCs w:val="16"/>
                <w:lang w:eastAsia="da-DK"/>
              </w:rPr>
              <w:t>-1.733.711</w:t>
            </w:r>
          </w:p>
        </w:tc>
        <w:tc>
          <w:tcPr>
            <w:tcW w:w="60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rPr>
                <w:rFonts w:eastAsia="Times New Roman" w:cs="Arial"/>
                <w:color w:val="000000"/>
                <w:sz w:val="16"/>
                <w:szCs w:val="16"/>
                <w:lang w:eastAsia="da-DK"/>
              </w:rPr>
            </w:pPr>
            <w:r w:rsidRPr="00A2010D">
              <w:rPr>
                <w:rFonts w:eastAsia="Times New Roman" w:cs="Arial"/>
                <w:color w:val="000000"/>
                <w:sz w:val="16"/>
                <w:szCs w:val="16"/>
                <w:lang w:eastAsia="da-DK"/>
              </w:rPr>
              <w:t> </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jc w:val="right"/>
              <w:rPr>
                <w:rFonts w:eastAsia="Times New Roman" w:cs="Arial"/>
                <w:color w:val="000000"/>
                <w:sz w:val="16"/>
                <w:szCs w:val="16"/>
                <w:lang w:eastAsia="da-DK"/>
              </w:rPr>
            </w:pPr>
            <w:r>
              <w:rPr>
                <w:rFonts w:eastAsia="Times New Roman" w:cs="Arial"/>
                <w:color w:val="000000"/>
                <w:sz w:val="16"/>
                <w:szCs w:val="16"/>
                <w:lang w:eastAsia="da-DK"/>
              </w:rPr>
              <w:t>-1.733.711</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55395B">
            <w:pPr>
              <w:spacing w:after="0"/>
              <w:jc w:val="right"/>
              <w:rPr>
                <w:rFonts w:eastAsia="Times New Roman" w:cs="Arial"/>
                <w:color w:val="000000"/>
                <w:sz w:val="16"/>
                <w:szCs w:val="16"/>
                <w:lang w:eastAsia="da-DK"/>
              </w:rPr>
            </w:pPr>
            <w:r w:rsidRPr="00A2010D">
              <w:rPr>
                <w:rFonts w:eastAsia="Times New Roman" w:cs="Arial"/>
                <w:color w:val="000000"/>
                <w:sz w:val="16"/>
                <w:szCs w:val="16"/>
                <w:lang w:eastAsia="da-DK"/>
              </w:rPr>
              <w:t>-1.</w:t>
            </w:r>
            <w:r w:rsidR="00C44024">
              <w:rPr>
                <w:rFonts w:eastAsia="Times New Roman" w:cs="Arial"/>
                <w:color w:val="000000"/>
                <w:sz w:val="16"/>
                <w:szCs w:val="16"/>
                <w:lang w:eastAsia="da-DK"/>
              </w:rPr>
              <w:t>730.787</w:t>
            </w:r>
          </w:p>
        </w:tc>
        <w:tc>
          <w:tcPr>
            <w:tcW w:w="535" w:type="pct"/>
            <w:tcBorders>
              <w:top w:val="nil"/>
              <w:left w:val="nil"/>
              <w:bottom w:val="single" w:sz="4" w:space="0" w:color="auto"/>
              <w:right w:val="single" w:sz="4" w:space="0" w:color="auto"/>
            </w:tcBorders>
            <w:shd w:val="clear" w:color="auto" w:fill="auto"/>
            <w:noWrap/>
            <w:vAlign w:val="bottom"/>
          </w:tcPr>
          <w:p w:rsidR="00EC581A" w:rsidRPr="00A2010D" w:rsidRDefault="00C141DA" w:rsidP="00EC581A">
            <w:pPr>
              <w:spacing w:after="0"/>
              <w:jc w:val="right"/>
              <w:rPr>
                <w:rFonts w:eastAsia="Times New Roman" w:cs="Arial"/>
                <w:color w:val="000000"/>
                <w:sz w:val="16"/>
                <w:szCs w:val="16"/>
                <w:lang w:eastAsia="da-DK"/>
              </w:rPr>
            </w:pPr>
            <w:r>
              <w:rPr>
                <w:rFonts w:eastAsia="Times New Roman" w:cs="Arial"/>
                <w:color w:val="000000"/>
                <w:sz w:val="16"/>
                <w:szCs w:val="16"/>
                <w:lang w:eastAsia="da-DK"/>
              </w:rPr>
              <w:t>-</w:t>
            </w:r>
            <w:r w:rsidR="003169E2">
              <w:rPr>
                <w:rFonts w:eastAsia="Times New Roman" w:cs="Arial"/>
                <w:color w:val="000000"/>
                <w:sz w:val="16"/>
                <w:szCs w:val="16"/>
                <w:lang w:eastAsia="da-DK"/>
              </w:rPr>
              <w:t>2.924</w:t>
            </w:r>
          </w:p>
        </w:tc>
      </w:tr>
      <w:tr w:rsidR="00EC581A" w:rsidRPr="00A2010D" w:rsidTr="0055395B">
        <w:tblPrEx>
          <w:tblCellMar>
            <w:left w:w="70" w:type="dxa"/>
            <w:right w:w="70" w:type="dxa"/>
          </w:tblCellMar>
        </w:tblPrEx>
        <w:trPr>
          <w:trHeight w:val="300"/>
        </w:trPr>
        <w:tc>
          <w:tcPr>
            <w:tcW w:w="1734" w:type="pct"/>
            <w:tcBorders>
              <w:top w:val="nil"/>
              <w:left w:val="single" w:sz="4" w:space="0" w:color="auto"/>
              <w:bottom w:val="single" w:sz="4" w:space="0" w:color="auto"/>
              <w:right w:val="single" w:sz="4" w:space="0" w:color="auto"/>
            </w:tcBorders>
            <w:shd w:val="clear" w:color="auto" w:fill="auto"/>
            <w:noWrap/>
            <w:vAlign w:val="bottom"/>
            <w:hideMark/>
          </w:tcPr>
          <w:p w:rsidR="00EC581A" w:rsidRPr="00A2010D" w:rsidRDefault="00EC581A" w:rsidP="00EC581A">
            <w:pPr>
              <w:spacing w:after="0"/>
              <w:ind w:firstLineChars="200" w:firstLine="320"/>
              <w:rPr>
                <w:rFonts w:eastAsia="Times New Roman" w:cs="Arial"/>
                <w:color w:val="000000"/>
                <w:sz w:val="16"/>
                <w:szCs w:val="16"/>
                <w:lang w:eastAsia="da-DK"/>
              </w:rPr>
            </w:pPr>
            <w:r w:rsidRPr="00A2010D">
              <w:rPr>
                <w:rFonts w:eastAsia="Times New Roman" w:cs="Arial"/>
                <w:color w:val="000000"/>
                <w:sz w:val="16"/>
                <w:szCs w:val="16"/>
                <w:lang w:eastAsia="da-DK"/>
              </w:rPr>
              <w:t>08 Balanceforskydninger</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rPr>
                <w:rFonts w:eastAsia="Times New Roman" w:cs="Arial"/>
                <w:color w:val="000000"/>
                <w:sz w:val="16"/>
                <w:szCs w:val="16"/>
                <w:lang w:eastAsia="da-DK"/>
              </w:rPr>
            </w:pPr>
            <w:r w:rsidRPr="00A2010D">
              <w:rPr>
                <w:rFonts w:eastAsia="Times New Roman" w:cs="Arial"/>
                <w:color w:val="000000"/>
                <w:sz w:val="16"/>
                <w:szCs w:val="16"/>
                <w:lang w:eastAsia="da-DK"/>
              </w:rPr>
              <w:t> </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rPr>
                <w:rFonts w:eastAsia="Times New Roman" w:cs="Arial"/>
                <w:color w:val="000000"/>
                <w:sz w:val="16"/>
                <w:szCs w:val="16"/>
                <w:lang w:eastAsia="da-DK"/>
              </w:rPr>
            </w:pPr>
            <w:r w:rsidRPr="00A2010D">
              <w:rPr>
                <w:rFonts w:eastAsia="Times New Roman" w:cs="Arial"/>
                <w:color w:val="000000"/>
                <w:sz w:val="16"/>
                <w:szCs w:val="16"/>
                <w:lang w:eastAsia="da-DK"/>
              </w:rPr>
              <w:t> </w:t>
            </w:r>
          </w:p>
        </w:tc>
        <w:tc>
          <w:tcPr>
            <w:tcW w:w="60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rPr>
                <w:rFonts w:eastAsia="Times New Roman" w:cs="Arial"/>
                <w:color w:val="000000"/>
                <w:sz w:val="16"/>
                <w:szCs w:val="16"/>
                <w:lang w:eastAsia="da-DK"/>
              </w:rPr>
            </w:pPr>
            <w:r w:rsidRPr="00A2010D">
              <w:rPr>
                <w:rFonts w:eastAsia="Times New Roman" w:cs="Arial"/>
                <w:color w:val="000000"/>
                <w:sz w:val="16"/>
                <w:szCs w:val="16"/>
                <w:lang w:eastAsia="da-DK"/>
              </w:rPr>
              <w:t> </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rPr>
                <w:rFonts w:eastAsia="Times New Roman" w:cs="Arial"/>
                <w:color w:val="000000"/>
                <w:sz w:val="16"/>
                <w:szCs w:val="16"/>
                <w:lang w:eastAsia="da-DK"/>
              </w:rPr>
            </w:pPr>
            <w:r w:rsidRPr="00A2010D">
              <w:rPr>
                <w:rFonts w:eastAsia="Times New Roman" w:cs="Arial"/>
                <w:color w:val="000000"/>
                <w:sz w:val="16"/>
                <w:szCs w:val="16"/>
                <w:lang w:eastAsia="da-DK"/>
              </w:rPr>
              <w:t> </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rPr>
                <w:rFonts w:eastAsia="Times New Roman" w:cs="Arial"/>
                <w:color w:val="000000"/>
                <w:sz w:val="16"/>
                <w:szCs w:val="16"/>
                <w:lang w:eastAsia="da-DK"/>
              </w:rPr>
            </w:pPr>
            <w:r w:rsidRPr="00A2010D">
              <w:rPr>
                <w:rFonts w:eastAsia="Times New Roman" w:cs="Arial"/>
                <w:color w:val="000000"/>
                <w:sz w:val="16"/>
                <w:szCs w:val="16"/>
                <w:lang w:eastAsia="da-DK"/>
              </w:rPr>
              <w:t> </w:t>
            </w:r>
          </w:p>
        </w:tc>
        <w:tc>
          <w:tcPr>
            <w:tcW w:w="535" w:type="pct"/>
            <w:tcBorders>
              <w:top w:val="nil"/>
              <w:left w:val="nil"/>
              <w:bottom w:val="single" w:sz="4" w:space="0" w:color="auto"/>
              <w:right w:val="single" w:sz="4" w:space="0" w:color="auto"/>
            </w:tcBorders>
            <w:shd w:val="clear" w:color="auto" w:fill="auto"/>
            <w:noWrap/>
            <w:vAlign w:val="bottom"/>
          </w:tcPr>
          <w:p w:rsidR="00EC581A" w:rsidRPr="00A2010D" w:rsidRDefault="00EC581A" w:rsidP="00EC581A">
            <w:pPr>
              <w:spacing w:after="0"/>
              <w:rPr>
                <w:rFonts w:eastAsia="Times New Roman" w:cs="Arial"/>
                <w:color w:val="000000"/>
                <w:sz w:val="16"/>
                <w:szCs w:val="16"/>
                <w:lang w:eastAsia="da-DK"/>
              </w:rPr>
            </w:pPr>
          </w:p>
        </w:tc>
      </w:tr>
      <w:tr w:rsidR="00EC581A" w:rsidRPr="00A2010D" w:rsidTr="0055395B">
        <w:tblPrEx>
          <w:tblCellMar>
            <w:left w:w="70" w:type="dxa"/>
            <w:right w:w="70" w:type="dxa"/>
          </w:tblCellMar>
        </w:tblPrEx>
        <w:trPr>
          <w:trHeight w:val="300"/>
        </w:trPr>
        <w:tc>
          <w:tcPr>
            <w:tcW w:w="1734" w:type="pct"/>
            <w:tcBorders>
              <w:top w:val="nil"/>
              <w:left w:val="single" w:sz="4" w:space="0" w:color="auto"/>
              <w:bottom w:val="single" w:sz="4" w:space="0" w:color="auto"/>
              <w:right w:val="single" w:sz="4" w:space="0" w:color="auto"/>
            </w:tcBorders>
            <w:shd w:val="clear" w:color="auto" w:fill="auto"/>
            <w:noWrap/>
            <w:vAlign w:val="bottom"/>
            <w:hideMark/>
          </w:tcPr>
          <w:p w:rsidR="00EC581A" w:rsidRPr="00A2010D" w:rsidRDefault="00EC581A" w:rsidP="00EC581A">
            <w:pPr>
              <w:spacing w:after="0"/>
              <w:ind w:firstLineChars="300" w:firstLine="480"/>
              <w:rPr>
                <w:rFonts w:eastAsia="Times New Roman" w:cs="Arial"/>
                <w:color w:val="000000"/>
                <w:sz w:val="16"/>
                <w:szCs w:val="16"/>
                <w:lang w:eastAsia="da-DK"/>
              </w:rPr>
            </w:pPr>
            <w:r w:rsidRPr="00A2010D">
              <w:rPr>
                <w:rFonts w:eastAsia="Times New Roman" w:cs="Arial"/>
                <w:color w:val="000000"/>
                <w:sz w:val="16"/>
                <w:szCs w:val="16"/>
                <w:lang w:eastAsia="da-DK"/>
              </w:rPr>
              <w:t>55 Forskydninger i langfristet gæld</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rPr>
                <w:rFonts w:eastAsia="Times New Roman" w:cs="Arial"/>
                <w:color w:val="000000"/>
                <w:sz w:val="16"/>
                <w:szCs w:val="16"/>
                <w:lang w:eastAsia="da-DK"/>
              </w:rPr>
            </w:pPr>
            <w:r w:rsidRPr="00A2010D">
              <w:rPr>
                <w:rFonts w:eastAsia="Times New Roman" w:cs="Arial"/>
                <w:color w:val="000000"/>
                <w:sz w:val="16"/>
                <w:szCs w:val="16"/>
                <w:lang w:eastAsia="da-DK"/>
              </w:rPr>
              <w:t> </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6B0763" w:rsidP="00EC581A">
            <w:pPr>
              <w:spacing w:after="0"/>
              <w:jc w:val="right"/>
              <w:rPr>
                <w:rFonts w:eastAsia="Times New Roman" w:cs="Arial"/>
                <w:color w:val="000000"/>
                <w:sz w:val="16"/>
                <w:szCs w:val="16"/>
                <w:lang w:eastAsia="da-DK"/>
              </w:rPr>
            </w:pPr>
            <w:r>
              <w:rPr>
                <w:rFonts w:eastAsia="Times New Roman" w:cs="Arial"/>
                <w:color w:val="000000"/>
                <w:sz w:val="16"/>
                <w:szCs w:val="16"/>
                <w:lang w:eastAsia="da-DK"/>
              </w:rPr>
              <w:t>-3.300</w:t>
            </w:r>
          </w:p>
        </w:tc>
        <w:tc>
          <w:tcPr>
            <w:tcW w:w="60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rPr>
                <w:rFonts w:eastAsia="Times New Roman" w:cs="Arial"/>
                <w:color w:val="000000"/>
                <w:sz w:val="16"/>
                <w:szCs w:val="16"/>
                <w:lang w:eastAsia="da-DK"/>
              </w:rPr>
            </w:pPr>
            <w:r w:rsidRPr="00A2010D">
              <w:rPr>
                <w:rFonts w:eastAsia="Times New Roman" w:cs="Arial"/>
                <w:color w:val="000000"/>
                <w:sz w:val="16"/>
                <w:szCs w:val="16"/>
                <w:lang w:eastAsia="da-DK"/>
              </w:rPr>
              <w:t> </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6575B" w:rsidP="006B0763">
            <w:pPr>
              <w:spacing w:after="0"/>
              <w:jc w:val="right"/>
              <w:rPr>
                <w:rFonts w:eastAsia="Times New Roman" w:cs="Arial"/>
                <w:color w:val="000000"/>
                <w:sz w:val="16"/>
                <w:szCs w:val="16"/>
                <w:lang w:eastAsia="da-DK"/>
              </w:rPr>
            </w:pPr>
            <w:r>
              <w:rPr>
                <w:rFonts w:eastAsia="Times New Roman" w:cs="Arial"/>
                <w:color w:val="000000"/>
                <w:sz w:val="16"/>
                <w:szCs w:val="16"/>
                <w:lang w:eastAsia="da-DK"/>
              </w:rPr>
              <w:t>-3.</w:t>
            </w:r>
            <w:r w:rsidR="006B0763">
              <w:rPr>
                <w:rFonts w:eastAsia="Times New Roman" w:cs="Arial"/>
                <w:color w:val="000000"/>
                <w:sz w:val="16"/>
                <w:szCs w:val="16"/>
                <w:lang w:eastAsia="da-DK"/>
              </w:rPr>
              <w:t>300</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rPr>
                <w:rFonts w:eastAsia="Times New Roman" w:cs="Arial"/>
                <w:color w:val="000000"/>
                <w:sz w:val="16"/>
                <w:szCs w:val="16"/>
                <w:lang w:eastAsia="da-DK"/>
              </w:rPr>
            </w:pPr>
            <w:r w:rsidRPr="00A2010D">
              <w:rPr>
                <w:rFonts w:eastAsia="Times New Roman" w:cs="Arial"/>
                <w:color w:val="000000"/>
                <w:sz w:val="16"/>
                <w:szCs w:val="16"/>
                <w:lang w:eastAsia="da-DK"/>
              </w:rPr>
              <w:t> </w:t>
            </w:r>
          </w:p>
        </w:tc>
        <w:tc>
          <w:tcPr>
            <w:tcW w:w="535" w:type="pct"/>
            <w:tcBorders>
              <w:top w:val="nil"/>
              <w:left w:val="nil"/>
              <w:bottom w:val="single" w:sz="4" w:space="0" w:color="auto"/>
              <w:right w:val="single" w:sz="4" w:space="0" w:color="auto"/>
            </w:tcBorders>
            <w:shd w:val="clear" w:color="auto" w:fill="auto"/>
            <w:noWrap/>
            <w:vAlign w:val="bottom"/>
          </w:tcPr>
          <w:p w:rsidR="00EC581A" w:rsidRPr="00A2010D" w:rsidRDefault="009610B1" w:rsidP="00EC581A">
            <w:pPr>
              <w:spacing w:after="0"/>
              <w:jc w:val="right"/>
              <w:rPr>
                <w:rFonts w:eastAsia="Times New Roman" w:cs="Arial"/>
                <w:color w:val="000000"/>
                <w:sz w:val="16"/>
                <w:szCs w:val="16"/>
                <w:lang w:eastAsia="da-DK"/>
              </w:rPr>
            </w:pPr>
            <w:r>
              <w:rPr>
                <w:rFonts w:eastAsia="Times New Roman" w:cs="Arial"/>
                <w:color w:val="000000"/>
                <w:sz w:val="16"/>
                <w:szCs w:val="16"/>
                <w:lang w:eastAsia="da-DK"/>
              </w:rPr>
              <w:t>-3.300</w:t>
            </w:r>
          </w:p>
        </w:tc>
      </w:tr>
      <w:tr w:rsidR="00EC581A" w:rsidRPr="00A2010D" w:rsidTr="0055395B">
        <w:tblPrEx>
          <w:tblCellMar>
            <w:left w:w="70" w:type="dxa"/>
            <w:right w:w="70" w:type="dxa"/>
          </w:tblCellMar>
        </w:tblPrEx>
        <w:trPr>
          <w:trHeight w:val="300"/>
        </w:trPr>
        <w:tc>
          <w:tcPr>
            <w:tcW w:w="1734" w:type="pct"/>
            <w:tcBorders>
              <w:top w:val="nil"/>
              <w:left w:val="single" w:sz="4" w:space="0" w:color="auto"/>
              <w:bottom w:val="single" w:sz="4" w:space="0" w:color="auto"/>
              <w:right w:val="single" w:sz="4" w:space="0" w:color="auto"/>
            </w:tcBorders>
            <w:shd w:val="clear" w:color="auto" w:fill="auto"/>
            <w:vAlign w:val="bottom"/>
            <w:hideMark/>
          </w:tcPr>
          <w:p w:rsidR="00EC581A" w:rsidRPr="00A2010D" w:rsidRDefault="00EC581A" w:rsidP="00EC581A">
            <w:pPr>
              <w:spacing w:after="0"/>
              <w:rPr>
                <w:rFonts w:eastAsia="Times New Roman" w:cs="Arial"/>
                <w:b/>
                <w:bCs/>
                <w:sz w:val="16"/>
                <w:szCs w:val="16"/>
                <w:lang w:eastAsia="da-DK"/>
              </w:rPr>
            </w:pPr>
            <w:r w:rsidRPr="00A2010D">
              <w:rPr>
                <w:rFonts w:eastAsia="Times New Roman" w:cs="Arial"/>
                <w:b/>
                <w:bCs/>
                <w:sz w:val="16"/>
                <w:szCs w:val="16"/>
                <w:lang w:eastAsia="da-DK"/>
              </w:rPr>
              <w:t>I alt</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EC581A" w:rsidP="00EC581A">
            <w:pPr>
              <w:spacing w:after="0"/>
              <w:jc w:val="right"/>
              <w:rPr>
                <w:rFonts w:eastAsia="Times New Roman" w:cs="Arial"/>
                <w:b/>
                <w:bCs/>
                <w:color w:val="000000"/>
                <w:sz w:val="16"/>
                <w:szCs w:val="16"/>
                <w:lang w:eastAsia="da-DK"/>
              </w:rPr>
            </w:pPr>
            <w:r w:rsidRPr="00A2010D">
              <w:rPr>
                <w:rFonts w:eastAsia="Times New Roman" w:cs="Arial"/>
                <w:b/>
                <w:bCs/>
                <w:color w:val="000000"/>
                <w:sz w:val="16"/>
                <w:szCs w:val="16"/>
                <w:lang w:eastAsia="da-DK"/>
              </w:rPr>
              <w:t>-2.776.416</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9610B1" w:rsidP="00EC581A">
            <w:pPr>
              <w:spacing w:after="0"/>
              <w:jc w:val="right"/>
              <w:rPr>
                <w:rFonts w:eastAsia="Times New Roman" w:cs="Arial"/>
                <w:b/>
                <w:bCs/>
                <w:color w:val="000000"/>
                <w:sz w:val="16"/>
                <w:szCs w:val="16"/>
                <w:lang w:eastAsia="da-DK"/>
              </w:rPr>
            </w:pPr>
            <w:r>
              <w:rPr>
                <w:rFonts w:eastAsia="Times New Roman" w:cs="Arial"/>
                <w:b/>
                <w:bCs/>
                <w:color w:val="000000"/>
                <w:sz w:val="16"/>
                <w:szCs w:val="16"/>
                <w:lang w:eastAsia="da-DK"/>
              </w:rPr>
              <w:t>-2.872.219</w:t>
            </w:r>
          </w:p>
        </w:tc>
        <w:tc>
          <w:tcPr>
            <w:tcW w:w="602" w:type="pct"/>
            <w:tcBorders>
              <w:top w:val="nil"/>
              <w:left w:val="nil"/>
              <w:bottom w:val="single" w:sz="4" w:space="0" w:color="auto"/>
              <w:right w:val="single" w:sz="4" w:space="0" w:color="auto"/>
            </w:tcBorders>
            <w:shd w:val="clear" w:color="auto" w:fill="auto"/>
            <w:noWrap/>
            <w:vAlign w:val="bottom"/>
            <w:hideMark/>
          </w:tcPr>
          <w:p w:rsidR="00EC581A" w:rsidRPr="00A2010D" w:rsidRDefault="00736B5B" w:rsidP="00EC581A">
            <w:pPr>
              <w:spacing w:after="0"/>
              <w:jc w:val="right"/>
              <w:rPr>
                <w:rFonts w:eastAsia="Times New Roman" w:cs="Arial"/>
                <w:b/>
                <w:bCs/>
                <w:color w:val="000000"/>
                <w:sz w:val="16"/>
                <w:szCs w:val="16"/>
                <w:lang w:eastAsia="da-DK"/>
              </w:rPr>
            </w:pPr>
            <w:r>
              <w:rPr>
                <w:rFonts w:eastAsia="Times New Roman" w:cs="Arial"/>
                <w:b/>
                <w:bCs/>
                <w:color w:val="000000"/>
                <w:sz w:val="16"/>
                <w:szCs w:val="16"/>
                <w:lang w:eastAsia="da-DK"/>
              </w:rPr>
              <w:t>-885</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D8080A" w:rsidP="000C11C3">
            <w:pPr>
              <w:spacing w:after="0"/>
              <w:jc w:val="right"/>
              <w:rPr>
                <w:rFonts w:eastAsia="Times New Roman" w:cs="Arial"/>
                <w:b/>
                <w:bCs/>
                <w:color w:val="000000"/>
                <w:sz w:val="16"/>
                <w:szCs w:val="16"/>
                <w:lang w:eastAsia="da-DK"/>
              </w:rPr>
            </w:pPr>
            <w:r>
              <w:rPr>
                <w:rFonts w:eastAsia="Times New Roman" w:cs="Arial"/>
                <w:b/>
                <w:bCs/>
                <w:color w:val="000000"/>
                <w:sz w:val="16"/>
                <w:szCs w:val="16"/>
                <w:lang w:eastAsia="da-DK"/>
              </w:rPr>
              <w:t>-</w:t>
            </w:r>
            <w:r w:rsidR="000C11C3">
              <w:rPr>
                <w:rFonts w:eastAsia="Times New Roman" w:cs="Arial"/>
                <w:b/>
                <w:bCs/>
                <w:color w:val="000000"/>
                <w:sz w:val="16"/>
                <w:szCs w:val="16"/>
                <w:lang w:eastAsia="da-DK"/>
              </w:rPr>
              <w:t>2</w:t>
            </w:r>
            <w:r w:rsidR="009610B1">
              <w:rPr>
                <w:rFonts w:eastAsia="Times New Roman" w:cs="Arial"/>
                <w:b/>
                <w:bCs/>
                <w:color w:val="000000"/>
                <w:sz w:val="16"/>
                <w:szCs w:val="16"/>
                <w:lang w:eastAsia="da-DK"/>
              </w:rPr>
              <w:t>.873.104</w:t>
            </w:r>
          </w:p>
        </w:tc>
        <w:tc>
          <w:tcPr>
            <w:tcW w:w="532" w:type="pct"/>
            <w:tcBorders>
              <w:top w:val="nil"/>
              <w:left w:val="nil"/>
              <w:bottom w:val="single" w:sz="4" w:space="0" w:color="auto"/>
              <w:right w:val="single" w:sz="4" w:space="0" w:color="auto"/>
            </w:tcBorders>
            <w:shd w:val="clear" w:color="auto" w:fill="auto"/>
            <w:noWrap/>
            <w:vAlign w:val="bottom"/>
            <w:hideMark/>
          </w:tcPr>
          <w:p w:rsidR="00EC581A" w:rsidRPr="00A2010D" w:rsidRDefault="003169E2" w:rsidP="00EC581A">
            <w:pPr>
              <w:spacing w:after="0"/>
              <w:jc w:val="right"/>
              <w:rPr>
                <w:rFonts w:eastAsia="Times New Roman" w:cs="Arial"/>
                <w:b/>
                <w:bCs/>
                <w:color w:val="000000"/>
                <w:sz w:val="16"/>
                <w:szCs w:val="16"/>
                <w:lang w:eastAsia="da-DK"/>
              </w:rPr>
            </w:pPr>
            <w:r>
              <w:rPr>
                <w:rFonts w:eastAsia="Times New Roman" w:cs="Arial"/>
                <w:b/>
                <w:bCs/>
                <w:color w:val="000000"/>
                <w:sz w:val="16"/>
                <w:szCs w:val="16"/>
                <w:lang w:eastAsia="da-DK"/>
              </w:rPr>
              <w:t>-2.864.881</w:t>
            </w:r>
          </w:p>
        </w:tc>
        <w:tc>
          <w:tcPr>
            <w:tcW w:w="535" w:type="pct"/>
            <w:tcBorders>
              <w:top w:val="nil"/>
              <w:left w:val="nil"/>
              <w:bottom w:val="single" w:sz="4" w:space="0" w:color="auto"/>
              <w:right w:val="single" w:sz="4" w:space="0" w:color="auto"/>
            </w:tcBorders>
            <w:shd w:val="clear" w:color="auto" w:fill="auto"/>
            <w:noWrap/>
            <w:vAlign w:val="bottom"/>
          </w:tcPr>
          <w:p w:rsidR="00EC581A" w:rsidRPr="00A2010D" w:rsidRDefault="000C11C3" w:rsidP="009610B1">
            <w:pPr>
              <w:spacing w:after="0"/>
              <w:jc w:val="right"/>
              <w:rPr>
                <w:rFonts w:eastAsia="Times New Roman" w:cs="Arial"/>
                <w:b/>
                <w:bCs/>
                <w:color w:val="000000"/>
                <w:sz w:val="16"/>
                <w:szCs w:val="16"/>
                <w:lang w:eastAsia="da-DK"/>
              </w:rPr>
            </w:pPr>
            <w:r>
              <w:rPr>
                <w:rFonts w:eastAsia="Times New Roman" w:cs="Arial"/>
                <w:b/>
                <w:bCs/>
                <w:color w:val="000000"/>
                <w:sz w:val="16"/>
                <w:szCs w:val="16"/>
                <w:lang w:eastAsia="da-DK"/>
              </w:rPr>
              <w:t>-</w:t>
            </w:r>
            <w:r w:rsidR="009610B1">
              <w:rPr>
                <w:rFonts w:eastAsia="Times New Roman" w:cs="Arial"/>
                <w:b/>
                <w:bCs/>
                <w:color w:val="000000"/>
                <w:sz w:val="16"/>
                <w:szCs w:val="16"/>
                <w:lang w:eastAsia="da-DK"/>
              </w:rPr>
              <w:t>8.223</w:t>
            </w:r>
          </w:p>
        </w:tc>
      </w:tr>
    </w:tbl>
    <w:p w:rsidR="004614B2" w:rsidRPr="003278D6" w:rsidRDefault="001E3CD2" w:rsidP="004614B2">
      <w:pPr>
        <w:rPr>
          <w:sz w:val="16"/>
        </w:rPr>
      </w:pPr>
      <w:r>
        <w:rPr>
          <w:sz w:val="16"/>
        </w:rPr>
        <w:t>Anm.: 2018-2019</w:t>
      </w:r>
      <w:r w:rsidR="004614B2">
        <w:rPr>
          <w:sz w:val="16"/>
        </w:rPr>
        <w:t xml:space="preserve"> i årets PL.</w:t>
      </w:r>
    </w:p>
    <w:p w:rsidR="004614B2" w:rsidRPr="00192FA5" w:rsidRDefault="004614B2" w:rsidP="004614B2">
      <w:pPr>
        <w:pStyle w:val="Overskrift2"/>
        <w:spacing w:before="0"/>
        <w:rPr>
          <w:rFonts w:cs="Arial"/>
        </w:rPr>
      </w:pPr>
      <w:bookmarkStart w:id="16" w:name="_Toc2932293"/>
      <w:r w:rsidRPr="00192FA5">
        <w:rPr>
          <w:rFonts w:cs="Arial"/>
        </w:rPr>
        <w:t>Årets væsentligste afvigelser og udfordringer</w:t>
      </w:r>
      <w:bookmarkEnd w:id="16"/>
      <w:r w:rsidRPr="00192FA5">
        <w:rPr>
          <w:rFonts w:cs="Arial"/>
        </w:rPr>
        <w:t xml:space="preserve"> </w:t>
      </w:r>
    </w:p>
    <w:p w:rsidR="0094752D" w:rsidRDefault="00192FA5" w:rsidP="006427CA">
      <w:pPr>
        <w:spacing w:after="0"/>
        <w:jc w:val="both"/>
        <w:rPr>
          <w:rFonts w:cs="Arial"/>
          <w:szCs w:val="20"/>
        </w:rPr>
      </w:pPr>
      <w:r>
        <w:rPr>
          <w:rFonts w:cs="Arial"/>
          <w:szCs w:val="20"/>
        </w:rPr>
        <w:t xml:space="preserve">Der var oprindeligt budgetteret med finansiering (indtægter fra skat, tilskud og udligning samt lånoptagelse) på godt </w:t>
      </w:r>
      <w:r w:rsidR="00943993">
        <w:rPr>
          <w:rFonts w:cs="Arial"/>
          <w:szCs w:val="20"/>
        </w:rPr>
        <w:t>2,868</w:t>
      </w:r>
      <w:r w:rsidR="00AA618B">
        <w:rPr>
          <w:rFonts w:cs="Arial"/>
          <w:szCs w:val="20"/>
        </w:rPr>
        <w:t xml:space="preserve"> mia. kr. Der er giv</w:t>
      </w:r>
      <w:r w:rsidR="00736B5B">
        <w:rPr>
          <w:rFonts w:cs="Arial"/>
          <w:szCs w:val="20"/>
        </w:rPr>
        <w:t>et tillægsbevillinger for -885</w:t>
      </w:r>
      <w:r w:rsidR="00AF0252">
        <w:rPr>
          <w:rFonts w:cs="Arial"/>
          <w:szCs w:val="20"/>
        </w:rPr>
        <w:t>.</w:t>
      </w:r>
      <w:r w:rsidR="00736B5B">
        <w:rPr>
          <w:rFonts w:cs="Arial"/>
          <w:szCs w:val="20"/>
        </w:rPr>
        <w:t xml:space="preserve">000 </w:t>
      </w:r>
      <w:r w:rsidR="00AA618B">
        <w:rPr>
          <w:rFonts w:cs="Arial"/>
          <w:szCs w:val="20"/>
        </w:rPr>
        <w:t xml:space="preserve">kr., hvorved det </w:t>
      </w:r>
      <w:r w:rsidR="00AA391A">
        <w:rPr>
          <w:rFonts w:cs="Arial"/>
          <w:szCs w:val="20"/>
        </w:rPr>
        <w:t>k</w:t>
      </w:r>
      <w:r w:rsidR="00736B5B">
        <w:rPr>
          <w:rFonts w:cs="Arial"/>
          <w:szCs w:val="20"/>
        </w:rPr>
        <w:t>orrigerede budget endte på 2,869</w:t>
      </w:r>
      <w:r w:rsidR="00AA618B">
        <w:rPr>
          <w:rFonts w:cs="Arial"/>
          <w:szCs w:val="20"/>
        </w:rPr>
        <w:t xml:space="preserve"> m</w:t>
      </w:r>
      <w:r w:rsidR="00736B5B">
        <w:rPr>
          <w:rFonts w:cs="Arial"/>
          <w:szCs w:val="20"/>
        </w:rPr>
        <w:t>ia. kr. Regnskaber lyder på 2,864</w:t>
      </w:r>
      <w:r w:rsidR="00AA618B">
        <w:rPr>
          <w:rFonts w:cs="Arial"/>
          <w:szCs w:val="20"/>
        </w:rPr>
        <w:t xml:space="preserve"> mia. kr., og </w:t>
      </w:r>
      <w:r w:rsidR="001B0E8F">
        <w:rPr>
          <w:rFonts w:cs="Arial"/>
          <w:szCs w:val="20"/>
        </w:rPr>
        <w:t xml:space="preserve">er </w:t>
      </w:r>
      <w:r w:rsidR="00AA618B">
        <w:rPr>
          <w:rFonts w:cs="Arial"/>
          <w:szCs w:val="20"/>
        </w:rPr>
        <w:t>en af</w:t>
      </w:r>
      <w:r w:rsidR="001B0E8F">
        <w:rPr>
          <w:rFonts w:cs="Arial"/>
          <w:szCs w:val="20"/>
        </w:rPr>
        <w:t xml:space="preserve">vigelse på </w:t>
      </w:r>
      <w:r w:rsidR="009610B1">
        <w:rPr>
          <w:rFonts w:cs="Arial"/>
          <w:szCs w:val="20"/>
        </w:rPr>
        <w:t xml:space="preserve">8 </w:t>
      </w:r>
      <w:r w:rsidR="001B0E8F">
        <w:rPr>
          <w:rFonts w:cs="Arial"/>
          <w:szCs w:val="20"/>
        </w:rPr>
        <w:t>mio. kr. i forhold til det oprindelig budget.</w:t>
      </w:r>
      <w:r w:rsidR="00841DA1">
        <w:rPr>
          <w:rFonts w:cs="Arial"/>
          <w:szCs w:val="20"/>
        </w:rPr>
        <w:t xml:space="preserve"> </w:t>
      </w:r>
      <w:r w:rsidR="00841DA1" w:rsidRPr="00C452AF">
        <w:rPr>
          <w:rFonts w:cs="Arial"/>
          <w:szCs w:val="20"/>
        </w:rPr>
        <w:t>Den negative tillægsbevilling er som følge af efterregulering af tilskud og udligning og af beskæftigelsestilskuddet af 2018 samt midtvejsregulering</w:t>
      </w:r>
      <w:r w:rsidR="005A6886">
        <w:rPr>
          <w:rFonts w:cs="Arial"/>
          <w:szCs w:val="20"/>
        </w:rPr>
        <w:t>.</w:t>
      </w:r>
    </w:p>
    <w:p w:rsidR="00AA618B" w:rsidRDefault="00AA618B" w:rsidP="000F6C72">
      <w:pPr>
        <w:pStyle w:val="Listeafsnit"/>
        <w:numPr>
          <w:ilvl w:val="0"/>
          <w:numId w:val="13"/>
        </w:numPr>
        <w:spacing w:after="0"/>
        <w:jc w:val="both"/>
        <w:rPr>
          <w:rFonts w:cs="Arial"/>
          <w:szCs w:val="20"/>
        </w:rPr>
      </w:pPr>
      <w:r w:rsidRPr="000F6C72">
        <w:rPr>
          <w:rFonts w:cs="Arial"/>
          <w:szCs w:val="20"/>
        </w:rPr>
        <w:t>Komm</w:t>
      </w:r>
      <w:r w:rsidR="00C44024">
        <w:rPr>
          <w:rFonts w:cs="Arial"/>
          <w:szCs w:val="20"/>
        </w:rPr>
        <w:t>unen har ikke optaget lån i 2019, selvom der var budgetteret 3,3</w:t>
      </w:r>
      <w:r w:rsidRPr="000F6C72">
        <w:rPr>
          <w:rFonts w:cs="Arial"/>
          <w:szCs w:val="20"/>
        </w:rPr>
        <w:t xml:space="preserve"> mio. kr. til det. </w:t>
      </w:r>
    </w:p>
    <w:p w:rsidR="000F6C72" w:rsidRPr="000F6C72" w:rsidRDefault="0055667B" w:rsidP="000F6C72">
      <w:pPr>
        <w:pStyle w:val="Listeafsnit"/>
        <w:numPr>
          <w:ilvl w:val="0"/>
          <w:numId w:val="13"/>
        </w:numPr>
        <w:spacing w:after="0"/>
        <w:jc w:val="both"/>
        <w:rPr>
          <w:rFonts w:cs="Arial"/>
          <w:szCs w:val="20"/>
        </w:rPr>
      </w:pPr>
      <w:r>
        <w:rPr>
          <w:rFonts w:cs="Arial"/>
          <w:szCs w:val="20"/>
        </w:rPr>
        <w:t>Ikke-budge</w:t>
      </w:r>
      <w:r w:rsidR="001B0E8F">
        <w:rPr>
          <w:rFonts w:cs="Arial"/>
          <w:szCs w:val="20"/>
        </w:rPr>
        <w:t xml:space="preserve">tteret udgift vedr. moms på </w:t>
      </w:r>
      <w:r w:rsidR="009610B1">
        <w:rPr>
          <w:rFonts w:cs="Arial"/>
          <w:szCs w:val="20"/>
        </w:rPr>
        <w:t>3.1</w:t>
      </w:r>
      <w:r w:rsidR="009E71A0">
        <w:rPr>
          <w:rFonts w:cs="Arial"/>
          <w:szCs w:val="20"/>
        </w:rPr>
        <w:t>6</w:t>
      </w:r>
      <w:r w:rsidR="009610B1">
        <w:rPr>
          <w:rFonts w:cs="Arial"/>
          <w:szCs w:val="20"/>
        </w:rPr>
        <w:t>2</w:t>
      </w:r>
      <w:r w:rsidR="009E71A0">
        <w:rPr>
          <w:rFonts w:cs="Arial"/>
          <w:szCs w:val="20"/>
        </w:rPr>
        <w:t xml:space="preserve"> mio.kr.</w:t>
      </w:r>
      <w:r w:rsidR="00736B5B">
        <w:rPr>
          <w:rFonts w:cs="Arial"/>
          <w:szCs w:val="20"/>
        </w:rPr>
        <w:t xml:space="preserve"> er moms som skal omkonteres</w:t>
      </w:r>
      <w:r w:rsidR="001B0E8F">
        <w:rPr>
          <w:rFonts w:cs="Arial"/>
          <w:szCs w:val="20"/>
        </w:rPr>
        <w:t xml:space="preserve">. </w:t>
      </w:r>
    </w:p>
    <w:p w:rsidR="006A78A5" w:rsidRPr="00AA618B" w:rsidRDefault="006A78A5" w:rsidP="006427CA">
      <w:pPr>
        <w:spacing w:after="0"/>
        <w:jc w:val="both"/>
        <w:rPr>
          <w:rFonts w:cs="Arial"/>
          <w:szCs w:val="20"/>
        </w:rPr>
      </w:pPr>
    </w:p>
    <w:sectPr w:rsidR="006A78A5" w:rsidRPr="00AA618B" w:rsidSect="003D43E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D3B" w:rsidRDefault="007B7D3B" w:rsidP="00A23176">
      <w:pPr>
        <w:spacing w:after="0"/>
      </w:pPr>
      <w:r>
        <w:separator/>
      </w:r>
    </w:p>
  </w:endnote>
  <w:endnote w:type="continuationSeparator" w:id="0">
    <w:p w:rsidR="007B7D3B" w:rsidRDefault="007B7D3B" w:rsidP="00A231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637336"/>
      <w:docPartObj>
        <w:docPartGallery w:val="Page Numbers (Bottom of Page)"/>
        <w:docPartUnique/>
      </w:docPartObj>
    </w:sdtPr>
    <w:sdtEndPr/>
    <w:sdtContent>
      <w:p w:rsidR="003351B4" w:rsidRDefault="003351B4">
        <w:pPr>
          <w:pStyle w:val="Sidefod"/>
          <w:jc w:val="right"/>
        </w:pPr>
        <w:r>
          <w:fldChar w:fldCharType="begin"/>
        </w:r>
        <w:r>
          <w:instrText>PAGE   \* MERGEFORMAT</w:instrText>
        </w:r>
        <w:r>
          <w:fldChar w:fldCharType="separate"/>
        </w:r>
        <w:r w:rsidR="00787680">
          <w:rPr>
            <w:noProof/>
          </w:rPr>
          <w:t>1</w:t>
        </w:r>
        <w:r>
          <w:fldChar w:fldCharType="end"/>
        </w:r>
      </w:p>
    </w:sdtContent>
  </w:sdt>
  <w:p w:rsidR="003351B4" w:rsidRDefault="003351B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D3B" w:rsidRDefault="007B7D3B" w:rsidP="00A23176">
      <w:pPr>
        <w:spacing w:after="0"/>
      </w:pPr>
      <w:r>
        <w:separator/>
      </w:r>
    </w:p>
  </w:footnote>
  <w:footnote w:type="continuationSeparator" w:id="0">
    <w:p w:rsidR="007B7D3B" w:rsidRDefault="007B7D3B" w:rsidP="00A231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1B4" w:rsidRDefault="003351B4">
    <w:pPr>
      <w:pStyle w:val="Sidehoved"/>
    </w:pPr>
    <w:r>
      <w:rPr>
        <w:noProof/>
        <w:lang w:eastAsia="da-DK"/>
      </w:rPr>
      <mc:AlternateContent>
        <mc:Choice Requires="wps">
          <w:drawing>
            <wp:anchor distT="0" distB="0" distL="114300" distR="114300" simplePos="0" relativeHeight="251658240" behindDoc="0" locked="0" layoutInCell="1" allowOverlap="1" wp14:anchorId="230C9D44" wp14:editId="35F9F14D">
              <wp:simplePos x="0" y="0"/>
              <wp:positionH relativeFrom="column">
                <wp:posOffset>5314950</wp:posOffset>
              </wp:positionH>
              <wp:positionV relativeFrom="paragraph">
                <wp:posOffset>160020</wp:posOffset>
              </wp:positionV>
              <wp:extent cx="1514475" cy="400050"/>
              <wp:effectExtent l="0" t="0" r="9525"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00050"/>
                      </a:xfrm>
                      <a:prstGeom prst="rect">
                        <a:avLst/>
                      </a:prstGeom>
                      <a:solidFill>
                        <a:srgbClr val="FFFFFF"/>
                      </a:solidFill>
                      <a:ln w="9525">
                        <a:noFill/>
                        <a:miter lim="800000"/>
                        <a:headEnd/>
                        <a:tailEnd/>
                      </a:ln>
                    </wps:spPr>
                    <wps:txbx>
                      <w:txbxContent>
                        <w:p w:rsidR="003351B4" w:rsidRDefault="003351B4">
                          <w:pPr>
                            <w:rPr>
                              <w:rFonts w:cs="Arial"/>
                              <w:b/>
                            </w:rPr>
                          </w:pPr>
                          <w:r>
                            <w:rPr>
                              <w:rFonts w:cs="Arial"/>
                              <w:b/>
                            </w:rPr>
                            <w:t>Regnskab 2019</w:t>
                          </w:r>
                        </w:p>
                        <w:p w:rsidR="003351B4" w:rsidRDefault="003351B4">
                          <w:pPr>
                            <w:rPr>
                              <w:rFonts w:cs="Arial"/>
                              <w:b/>
                            </w:rPr>
                          </w:pPr>
                        </w:p>
                        <w:p w:rsidR="003351B4" w:rsidRDefault="003351B4">
                          <w:pPr>
                            <w:rPr>
                              <w:rFonts w:cs="Arial"/>
                              <w:b/>
                            </w:rPr>
                          </w:pPr>
                        </w:p>
                        <w:p w:rsidR="003351B4" w:rsidRPr="00FF77DB" w:rsidRDefault="003351B4">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C9D44" id="_x0000_t202" coordsize="21600,21600" o:spt="202" path="m,l,21600r21600,l21600,xe">
              <v:stroke joinstyle="miter"/>
              <v:path gradientshapeok="t" o:connecttype="rect"/>
            </v:shapetype>
            <v:shape id="Tekstfelt 2" o:spid="_x0000_s1026" type="#_x0000_t202" style="position:absolute;margin-left:418.5pt;margin-top:12.6pt;width:119.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" stroked="f">
              <v:textbox>
                <w:txbxContent>
                  <w:p w:rsidR="003351B4" w:rsidRDefault="003351B4">
                    <w:pPr>
                      <w:rPr>
                        <w:rFonts w:cs="Arial"/>
                        <w:b/>
                      </w:rPr>
                    </w:pPr>
                    <w:r>
                      <w:rPr>
                        <w:rFonts w:cs="Arial"/>
                        <w:b/>
                      </w:rPr>
                      <w:t>Regnskab 2019</w:t>
                    </w:r>
                  </w:p>
                  <w:p w:rsidR="003351B4" w:rsidRDefault="003351B4">
                    <w:pPr>
                      <w:rPr>
                        <w:rFonts w:cs="Arial"/>
                        <w:b/>
                      </w:rPr>
                    </w:pPr>
                  </w:p>
                  <w:p w:rsidR="003351B4" w:rsidRDefault="003351B4">
                    <w:pPr>
                      <w:rPr>
                        <w:rFonts w:cs="Arial"/>
                        <w:b/>
                      </w:rPr>
                    </w:pPr>
                  </w:p>
                  <w:p w:rsidR="003351B4" w:rsidRPr="00FF77DB" w:rsidRDefault="003351B4">
                    <w:pPr>
                      <w:rPr>
                        <w:rFonts w:cs="Arial"/>
                        <w:b/>
                      </w:rPr>
                    </w:pPr>
                  </w:p>
                </w:txbxContent>
              </v:textbox>
            </v:shape>
          </w:pict>
        </mc:Fallback>
      </mc:AlternateContent>
    </w:r>
    <w:r>
      <w:rPr>
        <w:noProof/>
        <w:lang w:eastAsia="da-DK"/>
      </w:rPr>
      <w:drawing>
        <wp:inline distT="0" distB="0" distL="0" distR="0" wp14:anchorId="50AAE845" wp14:editId="479D7BFA">
          <wp:extent cx="1600200" cy="557914"/>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våben med nav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557914"/>
                  </a:xfrm>
                  <a:prstGeom prst="rect">
                    <a:avLst/>
                  </a:prstGeom>
                </pic:spPr>
              </pic:pic>
            </a:graphicData>
          </a:graphic>
        </wp:inline>
      </w:drawing>
    </w:r>
    <w:r>
      <w:tab/>
    </w:r>
  </w:p>
  <w:p w:rsidR="003351B4" w:rsidRPr="00C21606" w:rsidRDefault="003351B4" w:rsidP="00582F7A">
    <w:pPr>
      <w:pStyle w:val="Sidehoved"/>
      <w:tabs>
        <w:tab w:val="left" w:pos="900"/>
        <w:tab w:val="left" w:pos="9638"/>
      </w:tabs>
      <w:rPr>
        <w:rFonts w:cs="Arial"/>
        <w:color w:val="333333"/>
        <w:szCs w:val="23"/>
      </w:rPr>
    </w:pPr>
    <w:r w:rsidRPr="00432C5F">
      <w:rPr>
        <w:rFonts w:cs="Arial"/>
        <w:noProof/>
        <w:sz w:val="18"/>
        <w:lang w:eastAsia="da-DK"/>
      </w:rPr>
      <mc:AlternateContent>
        <mc:Choice Requires="wps">
          <w:drawing>
            <wp:anchor distT="0" distB="0" distL="114300" distR="114300" simplePos="0" relativeHeight="251656192" behindDoc="0" locked="0" layoutInCell="1" allowOverlap="1" wp14:anchorId="7FAA08A6" wp14:editId="391AB88C">
              <wp:simplePos x="0" y="0"/>
              <wp:positionH relativeFrom="column">
                <wp:posOffset>-76200</wp:posOffset>
              </wp:positionH>
              <wp:positionV relativeFrom="paragraph">
                <wp:posOffset>173990</wp:posOffset>
              </wp:positionV>
              <wp:extent cx="6724650" cy="0"/>
              <wp:effectExtent l="0" t="0" r="19050" b="19050"/>
              <wp:wrapNone/>
              <wp:docPr id="2" name="Lige forbindelse 2"/>
              <wp:cNvGraphicFramePr/>
              <a:graphic xmlns:a="http://schemas.openxmlformats.org/drawingml/2006/main">
                <a:graphicData uri="http://schemas.microsoft.com/office/word/2010/wordprocessingShape">
                  <wps:wsp>
                    <wps:cNvCnPr/>
                    <wps:spPr>
                      <a:xfrm>
                        <a:off x="0" y="0"/>
                        <a:ext cx="6724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5F2D4C" id="Lige forbindelse 2"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3.7pt" to="52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" strokecolor="#4579b8 [3044]"/>
          </w:pict>
        </mc:Fallback>
      </mc:AlternateContent>
    </w:r>
    <w:r>
      <w:rPr>
        <w:rFonts w:cs="Arial"/>
        <w:color w:val="333333"/>
        <w:szCs w:val="23"/>
      </w:rPr>
      <w:t xml:space="preserve">              Økonomi- og Ressourceforvaltningen</w:t>
    </w:r>
  </w:p>
  <w:p w:rsidR="003351B4" w:rsidRPr="00432C5F" w:rsidRDefault="003351B4" w:rsidP="00582F7A">
    <w:pPr>
      <w:pStyle w:val="Sidehoved"/>
      <w:tabs>
        <w:tab w:val="left" w:pos="900"/>
        <w:tab w:val="left" w:pos="9638"/>
      </w:tabs>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59A9"/>
    <w:multiLevelType w:val="hybridMultilevel"/>
    <w:tmpl w:val="F94A49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6D69C4"/>
    <w:multiLevelType w:val="hybridMultilevel"/>
    <w:tmpl w:val="B06236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0B91D18"/>
    <w:multiLevelType w:val="hybridMultilevel"/>
    <w:tmpl w:val="9B4089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E86C1D"/>
    <w:multiLevelType w:val="hybridMultilevel"/>
    <w:tmpl w:val="CD40B8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5600C96"/>
    <w:multiLevelType w:val="hybridMultilevel"/>
    <w:tmpl w:val="07F0EC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5DB0DD1"/>
    <w:multiLevelType w:val="hybridMultilevel"/>
    <w:tmpl w:val="8DBE1B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8C4310E"/>
    <w:multiLevelType w:val="hybridMultilevel"/>
    <w:tmpl w:val="3D4E49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C576DBA"/>
    <w:multiLevelType w:val="hybridMultilevel"/>
    <w:tmpl w:val="70EA34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4395B0B"/>
    <w:multiLevelType w:val="hybridMultilevel"/>
    <w:tmpl w:val="E7E24E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2E3645A"/>
    <w:multiLevelType w:val="hybridMultilevel"/>
    <w:tmpl w:val="28E093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32769A9"/>
    <w:multiLevelType w:val="hybridMultilevel"/>
    <w:tmpl w:val="944E18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5A103A8"/>
    <w:multiLevelType w:val="hybridMultilevel"/>
    <w:tmpl w:val="6074CC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9E93E48"/>
    <w:multiLevelType w:val="hybridMultilevel"/>
    <w:tmpl w:val="030A14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0"/>
  </w:num>
  <w:num w:numId="4">
    <w:abstractNumId w:val="6"/>
  </w:num>
  <w:num w:numId="5">
    <w:abstractNumId w:val="10"/>
  </w:num>
  <w:num w:numId="6">
    <w:abstractNumId w:val="2"/>
  </w:num>
  <w:num w:numId="7">
    <w:abstractNumId w:val="1"/>
  </w:num>
  <w:num w:numId="8">
    <w:abstractNumId w:val="3"/>
  </w:num>
  <w:num w:numId="9">
    <w:abstractNumId w:val="9"/>
  </w:num>
  <w:num w:numId="10">
    <w:abstractNumId w:val="9"/>
  </w:num>
  <w:num w:numId="11">
    <w:abstractNumId w:val="4"/>
  </w:num>
  <w:num w:numId="12">
    <w:abstractNumId w:val="7"/>
  </w:num>
  <w:num w:numId="13">
    <w:abstractNumId w:val="12"/>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A4A"/>
    <w:rsid w:val="00012480"/>
    <w:rsid w:val="000138FC"/>
    <w:rsid w:val="0001750E"/>
    <w:rsid w:val="00017AC0"/>
    <w:rsid w:val="00021470"/>
    <w:rsid w:val="00023DBF"/>
    <w:rsid w:val="000257B8"/>
    <w:rsid w:val="000265F8"/>
    <w:rsid w:val="00030FAA"/>
    <w:rsid w:val="0003190E"/>
    <w:rsid w:val="0003619B"/>
    <w:rsid w:val="00037256"/>
    <w:rsid w:val="000372CF"/>
    <w:rsid w:val="00042FF5"/>
    <w:rsid w:val="000430C0"/>
    <w:rsid w:val="00053D0B"/>
    <w:rsid w:val="00072AB1"/>
    <w:rsid w:val="000759FD"/>
    <w:rsid w:val="00080B06"/>
    <w:rsid w:val="00087391"/>
    <w:rsid w:val="000979BF"/>
    <w:rsid w:val="00097F93"/>
    <w:rsid w:val="000A36FD"/>
    <w:rsid w:val="000B1FAC"/>
    <w:rsid w:val="000B7E35"/>
    <w:rsid w:val="000C08D3"/>
    <w:rsid w:val="000C11C3"/>
    <w:rsid w:val="000C7677"/>
    <w:rsid w:val="000D2939"/>
    <w:rsid w:val="000D36C1"/>
    <w:rsid w:val="000E002D"/>
    <w:rsid w:val="000E2318"/>
    <w:rsid w:val="000F30BC"/>
    <w:rsid w:val="000F38AA"/>
    <w:rsid w:val="000F56F9"/>
    <w:rsid w:val="000F6C72"/>
    <w:rsid w:val="0010267C"/>
    <w:rsid w:val="001035FA"/>
    <w:rsid w:val="00111FAC"/>
    <w:rsid w:val="00112CA6"/>
    <w:rsid w:val="00117212"/>
    <w:rsid w:val="00117A31"/>
    <w:rsid w:val="00121DC8"/>
    <w:rsid w:val="00121EEC"/>
    <w:rsid w:val="00122BEF"/>
    <w:rsid w:val="0012520A"/>
    <w:rsid w:val="00126A59"/>
    <w:rsid w:val="001306F1"/>
    <w:rsid w:val="001406F1"/>
    <w:rsid w:val="00162103"/>
    <w:rsid w:val="00165BC8"/>
    <w:rsid w:val="00165CEB"/>
    <w:rsid w:val="00166D85"/>
    <w:rsid w:val="0017155B"/>
    <w:rsid w:val="00181EB2"/>
    <w:rsid w:val="00186EBF"/>
    <w:rsid w:val="0018713A"/>
    <w:rsid w:val="001922B7"/>
    <w:rsid w:val="00192FA5"/>
    <w:rsid w:val="001968DE"/>
    <w:rsid w:val="00196CC0"/>
    <w:rsid w:val="001A29BA"/>
    <w:rsid w:val="001A2EE5"/>
    <w:rsid w:val="001A4D6A"/>
    <w:rsid w:val="001A6A37"/>
    <w:rsid w:val="001A6D69"/>
    <w:rsid w:val="001B0D48"/>
    <w:rsid w:val="001B0E8F"/>
    <w:rsid w:val="001B1B5F"/>
    <w:rsid w:val="001B2FBD"/>
    <w:rsid w:val="001C0740"/>
    <w:rsid w:val="001C1206"/>
    <w:rsid w:val="001C4140"/>
    <w:rsid w:val="001C68C3"/>
    <w:rsid w:val="001D124F"/>
    <w:rsid w:val="001D3A38"/>
    <w:rsid w:val="001E2233"/>
    <w:rsid w:val="001E2F29"/>
    <w:rsid w:val="001E3CD2"/>
    <w:rsid w:val="001E7BAA"/>
    <w:rsid w:val="002035C7"/>
    <w:rsid w:val="00210234"/>
    <w:rsid w:val="00210421"/>
    <w:rsid w:val="0021115D"/>
    <w:rsid w:val="00213ED1"/>
    <w:rsid w:val="00216187"/>
    <w:rsid w:val="002220CF"/>
    <w:rsid w:val="00222317"/>
    <w:rsid w:val="00232F30"/>
    <w:rsid w:val="0023573A"/>
    <w:rsid w:val="00235A6F"/>
    <w:rsid w:val="00241A5D"/>
    <w:rsid w:val="00243F88"/>
    <w:rsid w:val="0024643D"/>
    <w:rsid w:val="00251E0D"/>
    <w:rsid w:val="002537CA"/>
    <w:rsid w:val="002701C3"/>
    <w:rsid w:val="00272BEB"/>
    <w:rsid w:val="00273C00"/>
    <w:rsid w:val="0027760C"/>
    <w:rsid w:val="002878E0"/>
    <w:rsid w:val="00290319"/>
    <w:rsid w:val="00293F2F"/>
    <w:rsid w:val="00295143"/>
    <w:rsid w:val="002C29E0"/>
    <w:rsid w:val="002C3067"/>
    <w:rsid w:val="002D2932"/>
    <w:rsid w:val="002D2E49"/>
    <w:rsid w:val="002E3A98"/>
    <w:rsid w:val="002E6C46"/>
    <w:rsid w:val="002E74B7"/>
    <w:rsid w:val="002F2E38"/>
    <w:rsid w:val="002F6F35"/>
    <w:rsid w:val="00303C60"/>
    <w:rsid w:val="003067CD"/>
    <w:rsid w:val="003068DE"/>
    <w:rsid w:val="00314D6A"/>
    <w:rsid w:val="003169E2"/>
    <w:rsid w:val="00320ADB"/>
    <w:rsid w:val="00325608"/>
    <w:rsid w:val="003274AD"/>
    <w:rsid w:val="003278D6"/>
    <w:rsid w:val="00332394"/>
    <w:rsid w:val="003351B4"/>
    <w:rsid w:val="003448A5"/>
    <w:rsid w:val="00347514"/>
    <w:rsid w:val="00355CE5"/>
    <w:rsid w:val="00356859"/>
    <w:rsid w:val="003624FD"/>
    <w:rsid w:val="00366EC4"/>
    <w:rsid w:val="00370C60"/>
    <w:rsid w:val="00373E43"/>
    <w:rsid w:val="00375D72"/>
    <w:rsid w:val="003765FD"/>
    <w:rsid w:val="00381EC0"/>
    <w:rsid w:val="0038637B"/>
    <w:rsid w:val="00386ED3"/>
    <w:rsid w:val="00391C7F"/>
    <w:rsid w:val="003956FA"/>
    <w:rsid w:val="00396CB3"/>
    <w:rsid w:val="003A2BB6"/>
    <w:rsid w:val="003A46AC"/>
    <w:rsid w:val="003A6D05"/>
    <w:rsid w:val="003A776E"/>
    <w:rsid w:val="003B3130"/>
    <w:rsid w:val="003B3166"/>
    <w:rsid w:val="003B495F"/>
    <w:rsid w:val="003B4B6E"/>
    <w:rsid w:val="003D21BB"/>
    <w:rsid w:val="003D43E6"/>
    <w:rsid w:val="003D77EB"/>
    <w:rsid w:val="003E54CB"/>
    <w:rsid w:val="003F6157"/>
    <w:rsid w:val="004034AB"/>
    <w:rsid w:val="00403FC1"/>
    <w:rsid w:val="00404890"/>
    <w:rsid w:val="0040572F"/>
    <w:rsid w:val="00420A15"/>
    <w:rsid w:val="00422705"/>
    <w:rsid w:val="00425096"/>
    <w:rsid w:val="00426818"/>
    <w:rsid w:val="004309D4"/>
    <w:rsid w:val="00432C5F"/>
    <w:rsid w:val="00436738"/>
    <w:rsid w:val="00442267"/>
    <w:rsid w:val="00442DC6"/>
    <w:rsid w:val="0044333D"/>
    <w:rsid w:val="00450C30"/>
    <w:rsid w:val="004614B2"/>
    <w:rsid w:val="004736F8"/>
    <w:rsid w:val="004738F2"/>
    <w:rsid w:val="00486CA9"/>
    <w:rsid w:val="00494099"/>
    <w:rsid w:val="004A3069"/>
    <w:rsid w:val="004B1068"/>
    <w:rsid w:val="004B12CD"/>
    <w:rsid w:val="004B386E"/>
    <w:rsid w:val="004B6909"/>
    <w:rsid w:val="004C37D4"/>
    <w:rsid w:val="004C6E76"/>
    <w:rsid w:val="004C7919"/>
    <w:rsid w:val="004D5CBA"/>
    <w:rsid w:val="004E4D92"/>
    <w:rsid w:val="004F4E14"/>
    <w:rsid w:val="005010B2"/>
    <w:rsid w:val="00502326"/>
    <w:rsid w:val="005072DA"/>
    <w:rsid w:val="00510C07"/>
    <w:rsid w:val="00511772"/>
    <w:rsid w:val="005118F3"/>
    <w:rsid w:val="005119C7"/>
    <w:rsid w:val="00514ED3"/>
    <w:rsid w:val="0051589D"/>
    <w:rsid w:val="00522684"/>
    <w:rsid w:val="0052631E"/>
    <w:rsid w:val="005263C1"/>
    <w:rsid w:val="00531A81"/>
    <w:rsid w:val="00531F65"/>
    <w:rsid w:val="00541985"/>
    <w:rsid w:val="0055395B"/>
    <w:rsid w:val="00554644"/>
    <w:rsid w:val="005553A8"/>
    <w:rsid w:val="0055667B"/>
    <w:rsid w:val="00556FD0"/>
    <w:rsid w:val="00557128"/>
    <w:rsid w:val="00560CBB"/>
    <w:rsid w:val="00562283"/>
    <w:rsid w:val="00562551"/>
    <w:rsid w:val="00565072"/>
    <w:rsid w:val="005774AA"/>
    <w:rsid w:val="00582F7A"/>
    <w:rsid w:val="00592C48"/>
    <w:rsid w:val="005A6886"/>
    <w:rsid w:val="005C7767"/>
    <w:rsid w:val="005D291A"/>
    <w:rsid w:val="005D687C"/>
    <w:rsid w:val="005E0E13"/>
    <w:rsid w:val="005E24BF"/>
    <w:rsid w:val="005E4914"/>
    <w:rsid w:val="005F1C39"/>
    <w:rsid w:val="0060009E"/>
    <w:rsid w:val="0060169C"/>
    <w:rsid w:val="00601951"/>
    <w:rsid w:val="00603A52"/>
    <w:rsid w:val="006105C6"/>
    <w:rsid w:val="0061283F"/>
    <w:rsid w:val="00615373"/>
    <w:rsid w:val="006176B7"/>
    <w:rsid w:val="00621178"/>
    <w:rsid w:val="006219A2"/>
    <w:rsid w:val="006241BA"/>
    <w:rsid w:val="00624808"/>
    <w:rsid w:val="00633565"/>
    <w:rsid w:val="006427CA"/>
    <w:rsid w:val="006472E5"/>
    <w:rsid w:val="00647D9A"/>
    <w:rsid w:val="00651B33"/>
    <w:rsid w:val="00654AD8"/>
    <w:rsid w:val="00655A86"/>
    <w:rsid w:val="0066017E"/>
    <w:rsid w:val="00661B95"/>
    <w:rsid w:val="006642DB"/>
    <w:rsid w:val="00667FBA"/>
    <w:rsid w:val="006713BE"/>
    <w:rsid w:val="00675D62"/>
    <w:rsid w:val="00685402"/>
    <w:rsid w:val="00690FFF"/>
    <w:rsid w:val="00694729"/>
    <w:rsid w:val="006A22C1"/>
    <w:rsid w:val="006A4E08"/>
    <w:rsid w:val="006A5D35"/>
    <w:rsid w:val="006A78A5"/>
    <w:rsid w:val="006B0763"/>
    <w:rsid w:val="006B35C9"/>
    <w:rsid w:val="006B7F03"/>
    <w:rsid w:val="006C19C4"/>
    <w:rsid w:val="006C35FB"/>
    <w:rsid w:val="006C6EAA"/>
    <w:rsid w:val="006D4D59"/>
    <w:rsid w:val="006E249B"/>
    <w:rsid w:val="006F0A70"/>
    <w:rsid w:val="006F3DF2"/>
    <w:rsid w:val="006F63D9"/>
    <w:rsid w:val="00703C0A"/>
    <w:rsid w:val="0070693D"/>
    <w:rsid w:val="007077A6"/>
    <w:rsid w:val="007107DF"/>
    <w:rsid w:val="00712CA4"/>
    <w:rsid w:val="007144F4"/>
    <w:rsid w:val="0072059D"/>
    <w:rsid w:val="0072295B"/>
    <w:rsid w:val="007246AC"/>
    <w:rsid w:val="0073284A"/>
    <w:rsid w:val="00735BDC"/>
    <w:rsid w:val="00736B5B"/>
    <w:rsid w:val="00742D20"/>
    <w:rsid w:val="007450F8"/>
    <w:rsid w:val="00746EE8"/>
    <w:rsid w:val="00761C0A"/>
    <w:rsid w:val="00767B8A"/>
    <w:rsid w:val="00770772"/>
    <w:rsid w:val="00776461"/>
    <w:rsid w:val="007806EF"/>
    <w:rsid w:val="007841D7"/>
    <w:rsid w:val="0078500F"/>
    <w:rsid w:val="00787680"/>
    <w:rsid w:val="007B435D"/>
    <w:rsid w:val="007B560C"/>
    <w:rsid w:val="007B7D3B"/>
    <w:rsid w:val="007D02A4"/>
    <w:rsid w:val="007D3A39"/>
    <w:rsid w:val="007D6E8E"/>
    <w:rsid w:val="007E0B76"/>
    <w:rsid w:val="007E2BA0"/>
    <w:rsid w:val="00803DA9"/>
    <w:rsid w:val="00805966"/>
    <w:rsid w:val="00807480"/>
    <w:rsid w:val="008159DB"/>
    <w:rsid w:val="00820328"/>
    <w:rsid w:val="00821A72"/>
    <w:rsid w:val="0082580C"/>
    <w:rsid w:val="00827A6B"/>
    <w:rsid w:val="00830D20"/>
    <w:rsid w:val="008330E8"/>
    <w:rsid w:val="00841DA1"/>
    <w:rsid w:val="0084622A"/>
    <w:rsid w:val="0086178B"/>
    <w:rsid w:val="00864DEE"/>
    <w:rsid w:val="008819D5"/>
    <w:rsid w:val="00884D69"/>
    <w:rsid w:val="008926A2"/>
    <w:rsid w:val="0089551C"/>
    <w:rsid w:val="008967E1"/>
    <w:rsid w:val="0089791D"/>
    <w:rsid w:val="008A005B"/>
    <w:rsid w:val="008B3B2E"/>
    <w:rsid w:val="008B6139"/>
    <w:rsid w:val="008C2FBB"/>
    <w:rsid w:val="008C2FE3"/>
    <w:rsid w:val="008C4EF0"/>
    <w:rsid w:val="008C76CE"/>
    <w:rsid w:val="008C78C4"/>
    <w:rsid w:val="008D01A4"/>
    <w:rsid w:val="008F0063"/>
    <w:rsid w:val="008F3DB4"/>
    <w:rsid w:val="00902C49"/>
    <w:rsid w:val="00907C30"/>
    <w:rsid w:val="00911FF7"/>
    <w:rsid w:val="00931F83"/>
    <w:rsid w:val="009375BF"/>
    <w:rsid w:val="00942FF9"/>
    <w:rsid w:val="00943517"/>
    <w:rsid w:val="00943993"/>
    <w:rsid w:val="00946AF9"/>
    <w:rsid w:val="0094752D"/>
    <w:rsid w:val="00947AB1"/>
    <w:rsid w:val="00960E28"/>
    <w:rsid w:val="009610B1"/>
    <w:rsid w:val="00965F06"/>
    <w:rsid w:val="00967027"/>
    <w:rsid w:val="00971037"/>
    <w:rsid w:val="00972941"/>
    <w:rsid w:val="00982E0A"/>
    <w:rsid w:val="00983DF0"/>
    <w:rsid w:val="00986CD6"/>
    <w:rsid w:val="00987718"/>
    <w:rsid w:val="00995155"/>
    <w:rsid w:val="009C2FC2"/>
    <w:rsid w:val="009D0393"/>
    <w:rsid w:val="009D1351"/>
    <w:rsid w:val="009E71A0"/>
    <w:rsid w:val="009E71BA"/>
    <w:rsid w:val="009F2DCF"/>
    <w:rsid w:val="00A018A3"/>
    <w:rsid w:val="00A03D7F"/>
    <w:rsid w:val="00A0760B"/>
    <w:rsid w:val="00A12DB0"/>
    <w:rsid w:val="00A13E85"/>
    <w:rsid w:val="00A149FC"/>
    <w:rsid w:val="00A2010D"/>
    <w:rsid w:val="00A20122"/>
    <w:rsid w:val="00A21F82"/>
    <w:rsid w:val="00A23176"/>
    <w:rsid w:val="00A2582E"/>
    <w:rsid w:val="00A367D2"/>
    <w:rsid w:val="00A450FF"/>
    <w:rsid w:val="00A46B2B"/>
    <w:rsid w:val="00A53A94"/>
    <w:rsid w:val="00A54A46"/>
    <w:rsid w:val="00A7633A"/>
    <w:rsid w:val="00A76A57"/>
    <w:rsid w:val="00A77C95"/>
    <w:rsid w:val="00A844B9"/>
    <w:rsid w:val="00A93116"/>
    <w:rsid w:val="00A93DB3"/>
    <w:rsid w:val="00AA391A"/>
    <w:rsid w:val="00AA3EB4"/>
    <w:rsid w:val="00AA3FD7"/>
    <w:rsid w:val="00AA618B"/>
    <w:rsid w:val="00AB1B37"/>
    <w:rsid w:val="00AB48EA"/>
    <w:rsid w:val="00AB608F"/>
    <w:rsid w:val="00AC0439"/>
    <w:rsid w:val="00AC4255"/>
    <w:rsid w:val="00AC62BA"/>
    <w:rsid w:val="00AD0048"/>
    <w:rsid w:val="00AD11F2"/>
    <w:rsid w:val="00AD4D4C"/>
    <w:rsid w:val="00AE3008"/>
    <w:rsid w:val="00AF0252"/>
    <w:rsid w:val="00AF0AC8"/>
    <w:rsid w:val="00AF39DC"/>
    <w:rsid w:val="00AF5985"/>
    <w:rsid w:val="00AF791A"/>
    <w:rsid w:val="00B0228C"/>
    <w:rsid w:val="00B02B0A"/>
    <w:rsid w:val="00B05202"/>
    <w:rsid w:val="00B07A5D"/>
    <w:rsid w:val="00B10EC3"/>
    <w:rsid w:val="00B1129A"/>
    <w:rsid w:val="00B12456"/>
    <w:rsid w:val="00B17041"/>
    <w:rsid w:val="00B26EAA"/>
    <w:rsid w:val="00B3333F"/>
    <w:rsid w:val="00B505DD"/>
    <w:rsid w:val="00B55FCF"/>
    <w:rsid w:val="00B6078A"/>
    <w:rsid w:val="00B613E6"/>
    <w:rsid w:val="00B61526"/>
    <w:rsid w:val="00B64FF5"/>
    <w:rsid w:val="00B664AC"/>
    <w:rsid w:val="00B71976"/>
    <w:rsid w:val="00B75D78"/>
    <w:rsid w:val="00B763CD"/>
    <w:rsid w:val="00B815CD"/>
    <w:rsid w:val="00B8470F"/>
    <w:rsid w:val="00B93DE3"/>
    <w:rsid w:val="00B96276"/>
    <w:rsid w:val="00B96681"/>
    <w:rsid w:val="00B96AA0"/>
    <w:rsid w:val="00B97D27"/>
    <w:rsid w:val="00BA40B6"/>
    <w:rsid w:val="00BA61C5"/>
    <w:rsid w:val="00BB1135"/>
    <w:rsid w:val="00BB3707"/>
    <w:rsid w:val="00BB371A"/>
    <w:rsid w:val="00BC3EA9"/>
    <w:rsid w:val="00BD59BB"/>
    <w:rsid w:val="00BE0895"/>
    <w:rsid w:val="00BE3D61"/>
    <w:rsid w:val="00BE58DE"/>
    <w:rsid w:val="00BE6773"/>
    <w:rsid w:val="00BF0270"/>
    <w:rsid w:val="00BF1BB2"/>
    <w:rsid w:val="00C00D63"/>
    <w:rsid w:val="00C0310A"/>
    <w:rsid w:val="00C06F32"/>
    <w:rsid w:val="00C13BE2"/>
    <w:rsid w:val="00C141DA"/>
    <w:rsid w:val="00C21606"/>
    <w:rsid w:val="00C351CC"/>
    <w:rsid w:val="00C37008"/>
    <w:rsid w:val="00C426DE"/>
    <w:rsid w:val="00C44024"/>
    <w:rsid w:val="00C45107"/>
    <w:rsid w:val="00C452AF"/>
    <w:rsid w:val="00C57DC6"/>
    <w:rsid w:val="00C606FB"/>
    <w:rsid w:val="00C6739A"/>
    <w:rsid w:val="00C73666"/>
    <w:rsid w:val="00C75ACA"/>
    <w:rsid w:val="00C76E29"/>
    <w:rsid w:val="00C77C2D"/>
    <w:rsid w:val="00C77DE3"/>
    <w:rsid w:val="00C9439B"/>
    <w:rsid w:val="00C96C97"/>
    <w:rsid w:val="00CA1B75"/>
    <w:rsid w:val="00CA3588"/>
    <w:rsid w:val="00CA4BF0"/>
    <w:rsid w:val="00CB6A4A"/>
    <w:rsid w:val="00CC0628"/>
    <w:rsid w:val="00CC1A94"/>
    <w:rsid w:val="00CC5015"/>
    <w:rsid w:val="00CD2EB6"/>
    <w:rsid w:val="00CD55FF"/>
    <w:rsid w:val="00CE098A"/>
    <w:rsid w:val="00CE2F1D"/>
    <w:rsid w:val="00CE3433"/>
    <w:rsid w:val="00CE526C"/>
    <w:rsid w:val="00CE6D00"/>
    <w:rsid w:val="00CE7803"/>
    <w:rsid w:val="00CF06AB"/>
    <w:rsid w:val="00CF3D0D"/>
    <w:rsid w:val="00CF598C"/>
    <w:rsid w:val="00CF5EF6"/>
    <w:rsid w:val="00CF605D"/>
    <w:rsid w:val="00CF7EC4"/>
    <w:rsid w:val="00D01290"/>
    <w:rsid w:val="00D03C48"/>
    <w:rsid w:val="00D03C6E"/>
    <w:rsid w:val="00D14625"/>
    <w:rsid w:val="00D30405"/>
    <w:rsid w:val="00D330F4"/>
    <w:rsid w:val="00D64186"/>
    <w:rsid w:val="00D65EC4"/>
    <w:rsid w:val="00D73C09"/>
    <w:rsid w:val="00D77818"/>
    <w:rsid w:val="00D8080A"/>
    <w:rsid w:val="00D837EF"/>
    <w:rsid w:val="00D918A0"/>
    <w:rsid w:val="00D94272"/>
    <w:rsid w:val="00D97B48"/>
    <w:rsid w:val="00DA08CA"/>
    <w:rsid w:val="00DA1AFA"/>
    <w:rsid w:val="00DA400D"/>
    <w:rsid w:val="00DB1192"/>
    <w:rsid w:val="00DB6066"/>
    <w:rsid w:val="00DB6673"/>
    <w:rsid w:val="00DC0821"/>
    <w:rsid w:val="00DC1DAF"/>
    <w:rsid w:val="00DC2560"/>
    <w:rsid w:val="00DC4DC3"/>
    <w:rsid w:val="00DD35FF"/>
    <w:rsid w:val="00DD7CBA"/>
    <w:rsid w:val="00DE45E6"/>
    <w:rsid w:val="00DE5A9D"/>
    <w:rsid w:val="00DE6805"/>
    <w:rsid w:val="00DE7FB1"/>
    <w:rsid w:val="00DF3BF6"/>
    <w:rsid w:val="00DF44A2"/>
    <w:rsid w:val="00DF7A73"/>
    <w:rsid w:val="00E10756"/>
    <w:rsid w:val="00E13E50"/>
    <w:rsid w:val="00E1770C"/>
    <w:rsid w:val="00E21DCD"/>
    <w:rsid w:val="00E33213"/>
    <w:rsid w:val="00E4140F"/>
    <w:rsid w:val="00E42231"/>
    <w:rsid w:val="00E42AD2"/>
    <w:rsid w:val="00E44A33"/>
    <w:rsid w:val="00E45CEC"/>
    <w:rsid w:val="00E535F2"/>
    <w:rsid w:val="00E60DFE"/>
    <w:rsid w:val="00E62E19"/>
    <w:rsid w:val="00E6575B"/>
    <w:rsid w:val="00E66F63"/>
    <w:rsid w:val="00E6726E"/>
    <w:rsid w:val="00E71AA4"/>
    <w:rsid w:val="00E724C8"/>
    <w:rsid w:val="00E72E57"/>
    <w:rsid w:val="00E838C8"/>
    <w:rsid w:val="00EA4758"/>
    <w:rsid w:val="00EB31DA"/>
    <w:rsid w:val="00EB459F"/>
    <w:rsid w:val="00EC581A"/>
    <w:rsid w:val="00EE0658"/>
    <w:rsid w:val="00EE4FAC"/>
    <w:rsid w:val="00EF293F"/>
    <w:rsid w:val="00EF6C29"/>
    <w:rsid w:val="00F06EE2"/>
    <w:rsid w:val="00F07406"/>
    <w:rsid w:val="00F25C8E"/>
    <w:rsid w:val="00F26966"/>
    <w:rsid w:val="00F3628F"/>
    <w:rsid w:val="00F42036"/>
    <w:rsid w:val="00F51362"/>
    <w:rsid w:val="00F514D6"/>
    <w:rsid w:val="00F567B1"/>
    <w:rsid w:val="00F579A6"/>
    <w:rsid w:val="00F61BC3"/>
    <w:rsid w:val="00F70E2F"/>
    <w:rsid w:val="00F72409"/>
    <w:rsid w:val="00F75CA2"/>
    <w:rsid w:val="00F771B7"/>
    <w:rsid w:val="00F8276D"/>
    <w:rsid w:val="00F82FDF"/>
    <w:rsid w:val="00F86683"/>
    <w:rsid w:val="00F867D5"/>
    <w:rsid w:val="00FA1E47"/>
    <w:rsid w:val="00FC0E2B"/>
    <w:rsid w:val="00FC3731"/>
    <w:rsid w:val="00FC5F8E"/>
    <w:rsid w:val="00FD3080"/>
    <w:rsid w:val="00FE4DE6"/>
    <w:rsid w:val="00FF1FB6"/>
    <w:rsid w:val="00FF77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64ED2D4-98F2-4087-903C-359FF58B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35D"/>
    <w:pPr>
      <w:spacing w:line="240" w:lineRule="auto"/>
    </w:pPr>
    <w:rPr>
      <w:rFonts w:ascii="Arial" w:hAnsi="Arial"/>
      <w:sz w:val="20"/>
    </w:rPr>
  </w:style>
  <w:style w:type="paragraph" w:styleId="Overskrift1">
    <w:name w:val="heading 1"/>
    <w:basedOn w:val="Normal"/>
    <w:next w:val="Normal"/>
    <w:link w:val="Overskrift1Tegn"/>
    <w:uiPriority w:val="9"/>
    <w:qFormat/>
    <w:rsid w:val="009D1351"/>
    <w:pPr>
      <w:keepNext/>
      <w:keepLines/>
      <w:spacing w:before="480" w:after="240"/>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9D1351"/>
    <w:pPr>
      <w:keepNext/>
      <w:keepLines/>
      <w:spacing w:before="240" w:after="120"/>
      <w:outlineLvl w:val="1"/>
    </w:pPr>
    <w:rPr>
      <w:rFonts w:eastAsiaTheme="majorEastAsia" w:cstheme="majorBidi"/>
      <w:b/>
      <w:bCs/>
      <w:sz w:val="24"/>
      <w:szCs w:val="26"/>
    </w:rPr>
  </w:style>
  <w:style w:type="paragraph" w:styleId="Overskrift3">
    <w:name w:val="heading 3"/>
    <w:basedOn w:val="Normal"/>
    <w:next w:val="Normal"/>
    <w:link w:val="Overskrift3Tegn"/>
    <w:uiPriority w:val="9"/>
    <w:unhideWhenUsed/>
    <w:qFormat/>
    <w:rsid w:val="00325608"/>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CC1A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F06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06EE2"/>
    <w:pPr>
      <w:ind w:left="720"/>
      <w:contextualSpacing/>
    </w:pPr>
  </w:style>
  <w:style w:type="paragraph" w:styleId="Markeringsbobletekst">
    <w:name w:val="Balloon Text"/>
    <w:basedOn w:val="Normal"/>
    <w:link w:val="MarkeringsbobletekstTegn"/>
    <w:uiPriority w:val="99"/>
    <w:semiHidden/>
    <w:unhideWhenUsed/>
    <w:rsid w:val="00864DEE"/>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64DEE"/>
    <w:rPr>
      <w:rFonts w:ascii="Tahoma" w:hAnsi="Tahoma" w:cs="Tahoma"/>
      <w:sz w:val="16"/>
      <w:szCs w:val="16"/>
    </w:rPr>
  </w:style>
  <w:style w:type="character" w:customStyle="1" w:styleId="Overskrift1Tegn">
    <w:name w:val="Overskrift 1 Tegn"/>
    <w:basedOn w:val="Standardskrifttypeiafsnit"/>
    <w:link w:val="Overskrift1"/>
    <w:uiPriority w:val="9"/>
    <w:rsid w:val="009D1351"/>
    <w:rPr>
      <w:rFonts w:ascii="Arial" w:eastAsiaTheme="majorEastAsia" w:hAnsi="Arial" w:cstheme="majorBidi"/>
      <w:b/>
      <w:bCs/>
      <w:sz w:val="28"/>
      <w:szCs w:val="28"/>
    </w:rPr>
  </w:style>
  <w:style w:type="character" w:customStyle="1" w:styleId="Overskrift2Tegn">
    <w:name w:val="Overskrift 2 Tegn"/>
    <w:basedOn w:val="Standardskrifttypeiafsnit"/>
    <w:link w:val="Overskrift2"/>
    <w:uiPriority w:val="9"/>
    <w:rsid w:val="009D1351"/>
    <w:rPr>
      <w:rFonts w:ascii="Arial" w:eastAsiaTheme="majorEastAsia" w:hAnsi="Arial" w:cstheme="majorBidi"/>
      <w:b/>
      <w:bCs/>
      <w:sz w:val="24"/>
      <w:szCs w:val="26"/>
    </w:rPr>
  </w:style>
  <w:style w:type="character" w:customStyle="1" w:styleId="Overskrift3Tegn">
    <w:name w:val="Overskrift 3 Tegn"/>
    <w:basedOn w:val="Standardskrifttypeiafsnit"/>
    <w:link w:val="Overskrift3"/>
    <w:uiPriority w:val="9"/>
    <w:rsid w:val="00325608"/>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CC1A94"/>
    <w:rPr>
      <w:rFonts w:asciiTheme="majorHAnsi" w:eastAsiaTheme="majorEastAsia" w:hAnsiTheme="majorHAnsi" w:cstheme="majorBidi"/>
      <w:b/>
      <w:bCs/>
      <w:i/>
      <w:iCs/>
      <w:color w:val="4F81BD" w:themeColor="accent1"/>
    </w:rPr>
  </w:style>
  <w:style w:type="paragraph" w:styleId="Overskrift">
    <w:name w:val="TOC Heading"/>
    <w:basedOn w:val="Overskrift1"/>
    <w:next w:val="Normal"/>
    <w:uiPriority w:val="39"/>
    <w:semiHidden/>
    <w:unhideWhenUsed/>
    <w:qFormat/>
    <w:rsid w:val="00CC1A94"/>
    <w:pPr>
      <w:outlineLvl w:val="9"/>
    </w:pPr>
    <w:rPr>
      <w:lang w:eastAsia="da-DK"/>
    </w:rPr>
  </w:style>
  <w:style w:type="paragraph" w:styleId="Indholdsfortegnelse1">
    <w:name w:val="toc 1"/>
    <w:basedOn w:val="Normal"/>
    <w:next w:val="Normal"/>
    <w:autoRedefine/>
    <w:uiPriority w:val="39"/>
    <w:unhideWhenUsed/>
    <w:rsid w:val="00CC1A94"/>
    <w:pPr>
      <w:spacing w:after="100"/>
    </w:pPr>
  </w:style>
  <w:style w:type="paragraph" w:styleId="Indholdsfortegnelse2">
    <w:name w:val="toc 2"/>
    <w:basedOn w:val="Normal"/>
    <w:next w:val="Normal"/>
    <w:autoRedefine/>
    <w:uiPriority w:val="39"/>
    <w:unhideWhenUsed/>
    <w:rsid w:val="003B495F"/>
    <w:pPr>
      <w:tabs>
        <w:tab w:val="right" w:leader="dot" w:pos="10456"/>
      </w:tabs>
      <w:spacing w:after="100"/>
      <w:ind w:left="221"/>
    </w:pPr>
  </w:style>
  <w:style w:type="paragraph" w:styleId="Indholdsfortegnelse3">
    <w:name w:val="toc 3"/>
    <w:basedOn w:val="Normal"/>
    <w:next w:val="Normal"/>
    <w:autoRedefine/>
    <w:uiPriority w:val="39"/>
    <w:unhideWhenUsed/>
    <w:rsid w:val="00CC1A94"/>
    <w:pPr>
      <w:spacing w:after="100"/>
      <w:ind w:left="440"/>
    </w:pPr>
  </w:style>
  <w:style w:type="character" w:styleId="Hyperlink">
    <w:name w:val="Hyperlink"/>
    <w:basedOn w:val="Standardskrifttypeiafsnit"/>
    <w:uiPriority w:val="99"/>
    <w:unhideWhenUsed/>
    <w:rsid w:val="00CC1A94"/>
    <w:rPr>
      <w:color w:val="0000FF" w:themeColor="hyperlink"/>
      <w:u w:val="single"/>
    </w:rPr>
  </w:style>
  <w:style w:type="paragraph" w:styleId="Ingenafstand">
    <w:name w:val="No Spacing"/>
    <w:link w:val="IngenafstandTegn"/>
    <w:uiPriority w:val="1"/>
    <w:qFormat/>
    <w:rsid w:val="0021115D"/>
    <w:pPr>
      <w:spacing w:after="0" w:line="240" w:lineRule="auto"/>
    </w:pPr>
  </w:style>
  <w:style w:type="paragraph" w:styleId="NormalWeb">
    <w:name w:val="Normal (Web)"/>
    <w:basedOn w:val="Normal"/>
    <w:uiPriority w:val="99"/>
    <w:unhideWhenUsed/>
    <w:rsid w:val="00CF3D0D"/>
    <w:pPr>
      <w:spacing w:before="300" w:after="300"/>
    </w:pPr>
    <w:rPr>
      <w:rFonts w:ascii="Times New Roman" w:eastAsia="Times New Roman" w:hAnsi="Times New Roman" w:cs="Times New Roman"/>
      <w:sz w:val="24"/>
      <w:szCs w:val="24"/>
      <w:lang w:eastAsia="da-DK"/>
    </w:rPr>
  </w:style>
  <w:style w:type="character" w:customStyle="1" w:styleId="IngenafstandTegn">
    <w:name w:val="Ingen afstand Tegn"/>
    <w:basedOn w:val="Standardskrifttypeiafsnit"/>
    <w:link w:val="Ingenafstand"/>
    <w:uiPriority w:val="1"/>
    <w:rsid w:val="00CF3D0D"/>
  </w:style>
  <w:style w:type="paragraph" w:styleId="Sidehoved">
    <w:name w:val="header"/>
    <w:basedOn w:val="Normal"/>
    <w:link w:val="SidehovedTegn"/>
    <w:uiPriority w:val="99"/>
    <w:unhideWhenUsed/>
    <w:rsid w:val="00A23176"/>
    <w:pPr>
      <w:tabs>
        <w:tab w:val="center" w:pos="4819"/>
        <w:tab w:val="right" w:pos="9638"/>
      </w:tabs>
      <w:spacing w:after="0"/>
    </w:pPr>
  </w:style>
  <w:style w:type="character" w:customStyle="1" w:styleId="SidehovedTegn">
    <w:name w:val="Sidehoved Tegn"/>
    <w:basedOn w:val="Standardskrifttypeiafsnit"/>
    <w:link w:val="Sidehoved"/>
    <w:uiPriority w:val="99"/>
    <w:rsid w:val="00A23176"/>
  </w:style>
  <w:style w:type="paragraph" w:styleId="Sidefod">
    <w:name w:val="footer"/>
    <w:basedOn w:val="Normal"/>
    <w:link w:val="SidefodTegn"/>
    <w:uiPriority w:val="99"/>
    <w:unhideWhenUsed/>
    <w:rsid w:val="00A23176"/>
    <w:pPr>
      <w:tabs>
        <w:tab w:val="center" w:pos="4819"/>
        <w:tab w:val="right" w:pos="9638"/>
      </w:tabs>
      <w:spacing w:after="0"/>
    </w:pPr>
  </w:style>
  <w:style w:type="character" w:customStyle="1" w:styleId="SidefodTegn">
    <w:name w:val="Sidefod Tegn"/>
    <w:basedOn w:val="Standardskrifttypeiafsnit"/>
    <w:link w:val="Sidefod"/>
    <w:uiPriority w:val="99"/>
    <w:rsid w:val="00A23176"/>
  </w:style>
  <w:style w:type="character" w:styleId="Strk">
    <w:name w:val="Strong"/>
    <w:basedOn w:val="Standardskrifttypeiafsnit"/>
    <w:uiPriority w:val="22"/>
    <w:qFormat/>
    <w:rsid w:val="009F2DCF"/>
    <w:rPr>
      <w:b/>
      <w:bCs/>
    </w:rPr>
  </w:style>
  <w:style w:type="paragraph" w:styleId="Billedtekst">
    <w:name w:val="caption"/>
    <w:basedOn w:val="Normal"/>
    <w:next w:val="Normal"/>
    <w:uiPriority w:val="35"/>
    <w:unhideWhenUsed/>
    <w:qFormat/>
    <w:rsid w:val="00DA400D"/>
    <w:pPr>
      <w:spacing w:after="0"/>
    </w:pPr>
    <w:rPr>
      <w:b/>
      <w:bCs/>
      <w:szCs w:val="18"/>
    </w:rPr>
  </w:style>
  <w:style w:type="character" w:styleId="Kommentarhenvisning">
    <w:name w:val="annotation reference"/>
    <w:basedOn w:val="Standardskrifttypeiafsnit"/>
    <w:uiPriority w:val="99"/>
    <w:semiHidden/>
    <w:unhideWhenUsed/>
    <w:rsid w:val="003278D6"/>
    <w:rPr>
      <w:sz w:val="16"/>
      <w:szCs w:val="16"/>
    </w:rPr>
  </w:style>
  <w:style w:type="paragraph" w:styleId="Kommentartekst">
    <w:name w:val="annotation text"/>
    <w:basedOn w:val="Normal"/>
    <w:link w:val="KommentartekstTegn"/>
    <w:uiPriority w:val="99"/>
    <w:unhideWhenUsed/>
    <w:rsid w:val="003278D6"/>
    <w:rPr>
      <w:szCs w:val="20"/>
    </w:rPr>
  </w:style>
  <w:style w:type="character" w:customStyle="1" w:styleId="KommentartekstTegn">
    <w:name w:val="Kommentartekst Tegn"/>
    <w:basedOn w:val="Standardskrifttypeiafsnit"/>
    <w:link w:val="Kommentartekst"/>
    <w:uiPriority w:val="99"/>
    <w:rsid w:val="003278D6"/>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3278D6"/>
    <w:rPr>
      <w:b/>
      <w:bCs/>
    </w:rPr>
  </w:style>
  <w:style w:type="character" w:customStyle="1" w:styleId="KommentaremneTegn">
    <w:name w:val="Kommentaremne Tegn"/>
    <w:basedOn w:val="KommentartekstTegn"/>
    <w:link w:val="Kommentaremne"/>
    <w:uiPriority w:val="99"/>
    <w:semiHidden/>
    <w:rsid w:val="003278D6"/>
    <w:rPr>
      <w:rFonts w:ascii="Arial" w:hAnsi="Arial"/>
      <w:b/>
      <w:bCs/>
      <w:sz w:val="20"/>
      <w:szCs w:val="20"/>
    </w:rPr>
  </w:style>
  <w:style w:type="paragraph" w:styleId="Korrektur">
    <w:name w:val="Revision"/>
    <w:hidden/>
    <w:uiPriority w:val="99"/>
    <w:semiHidden/>
    <w:rsid w:val="00436738"/>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19803">
      <w:bodyDiv w:val="1"/>
      <w:marLeft w:val="0"/>
      <w:marRight w:val="0"/>
      <w:marTop w:val="0"/>
      <w:marBottom w:val="0"/>
      <w:divBdr>
        <w:top w:val="none" w:sz="0" w:space="0" w:color="auto"/>
        <w:left w:val="none" w:sz="0" w:space="0" w:color="auto"/>
        <w:bottom w:val="none" w:sz="0" w:space="0" w:color="auto"/>
        <w:right w:val="none" w:sz="0" w:space="0" w:color="auto"/>
      </w:divBdr>
    </w:div>
    <w:div w:id="121702842">
      <w:bodyDiv w:val="1"/>
      <w:marLeft w:val="0"/>
      <w:marRight w:val="0"/>
      <w:marTop w:val="0"/>
      <w:marBottom w:val="0"/>
      <w:divBdr>
        <w:top w:val="none" w:sz="0" w:space="0" w:color="auto"/>
        <w:left w:val="none" w:sz="0" w:space="0" w:color="auto"/>
        <w:bottom w:val="none" w:sz="0" w:space="0" w:color="auto"/>
        <w:right w:val="none" w:sz="0" w:space="0" w:color="auto"/>
      </w:divBdr>
    </w:div>
    <w:div w:id="182063157">
      <w:bodyDiv w:val="1"/>
      <w:marLeft w:val="0"/>
      <w:marRight w:val="0"/>
      <w:marTop w:val="0"/>
      <w:marBottom w:val="0"/>
      <w:divBdr>
        <w:top w:val="none" w:sz="0" w:space="0" w:color="auto"/>
        <w:left w:val="none" w:sz="0" w:space="0" w:color="auto"/>
        <w:bottom w:val="none" w:sz="0" w:space="0" w:color="auto"/>
        <w:right w:val="none" w:sz="0" w:space="0" w:color="auto"/>
      </w:divBdr>
    </w:div>
    <w:div w:id="321934836">
      <w:bodyDiv w:val="1"/>
      <w:marLeft w:val="0"/>
      <w:marRight w:val="0"/>
      <w:marTop w:val="0"/>
      <w:marBottom w:val="0"/>
      <w:divBdr>
        <w:top w:val="none" w:sz="0" w:space="0" w:color="auto"/>
        <w:left w:val="none" w:sz="0" w:space="0" w:color="auto"/>
        <w:bottom w:val="none" w:sz="0" w:space="0" w:color="auto"/>
        <w:right w:val="none" w:sz="0" w:space="0" w:color="auto"/>
      </w:divBdr>
    </w:div>
    <w:div w:id="329799212">
      <w:bodyDiv w:val="1"/>
      <w:marLeft w:val="0"/>
      <w:marRight w:val="0"/>
      <w:marTop w:val="0"/>
      <w:marBottom w:val="0"/>
      <w:divBdr>
        <w:top w:val="none" w:sz="0" w:space="0" w:color="auto"/>
        <w:left w:val="none" w:sz="0" w:space="0" w:color="auto"/>
        <w:bottom w:val="none" w:sz="0" w:space="0" w:color="auto"/>
        <w:right w:val="none" w:sz="0" w:space="0" w:color="auto"/>
      </w:divBdr>
    </w:div>
    <w:div w:id="342317101">
      <w:bodyDiv w:val="1"/>
      <w:marLeft w:val="0"/>
      <w:marRight w:val="0"/>
      <w:marTop w:val="0"/>
      <w:marBottom w:val="0"/>
      <w:divBdr>
        <w:top w:val="none" w:sz="0" w:space="0" w:color="auto"/>
        <w:left w:val="none" w:sz="0" w:space="0" w:color="auto"/>
        <w:bottom w:val="none" w:sz="0" w:space="0" w:color="auto"/>
        <w:right w:val="none" w:sz="0" w:space="0" w:color="auto"/>
      </w:divBdr>
    </w:div>
    <w:div w:id="350227903">
      <w:bodyDiv w:val="1"/>
      <w:marLeft w:val="0"/>
      <w:marRight w:val="0"/>
      <w:marTop w:val="0"/>
      <w:marBottom w:val="0"/>
      <w:divBdr>
        <w:top w:val="none" w:sz="0" w:space="0" w:color="auto"/>
        <w:left w:val="none" w:sz="0" w:space="0" w:color="auto"/>
        <w:bottom w:val="none" w:sz="0" w:space="0" w:color="auto"/>
        <w:right w:val="none" w:sz="0" w:space="0" w:color="auto"/>
      </w:divBdr>
    </w:div>
    <w:div w:id="373892570">
      <w:bodyDiv w:val="1"/>
      <w:marLeft w:val="0"/>
      <w:marRight w:val="0"/>
      <w:marTop w:val="0"/>
      <w:marBottom w:val="0"/>
      <w:divBdr>
        <w:top w:val="none" w:sz="0" w:space="0" w:color="auto"/>
        <w:left w:val="none" w:sz="0" w:space="0" w:color="auto"/>
        <w:bottom w:val="none" w:sz="0" w:space="0" w:color="auto"/>
        <w:right w:val="none" w:sz="0" w:space="0" w:color="auto"/>
      </w:divBdr>
    </w:div>
    <w:div w:id="403839844">
      <w:bodyDiv w:val="1"/>
      <w:marLeft w:val="0"/>
      <w:marRight w:val="0"/>
      <w:marTop w:val="0"/>
      <w:marBottom w:val="0"/>
      <w:divBdr>
        <w:top w:val="none" w:sz="0" w:space="0" w:color="auto"/>
        <w:left w:val="none" w:sz="0" w:space="0" w:color="auto"/>
        <w:bottom w:val="none" w:sz="0" w:space="0" w:color="auto"/>
        <w:right w:val="none" w:sz="0" w:space="0" w:color="auto"/>
      </w:divBdr>
    </w:div>
    <w:div w:id="438650123">
      <w:bodyDiv w:val="1"/>
      <w:marLeft w:val="0"/>
      <w:marRight w:val="0"/>
      <w:marTop w:val="0"/>
      <w:marBottom w:val="0"/>
      <w:divBdr>
        <w:top w:val="none" w:sz="0" w:space="0" w:color="auto"/>
        <w:left w:val="none" w:sz="0" w:space="0" w:color="auto"/>
        <w:bottom w:val="none" w:sz="0" w:space="0" w:color="auto"/>
        <w:right w:val="none" w:sz="0" w:space="0" w:color="auto"/>
      </w:divBdr>
    </w:div>
    <w:div w:id="455300343">
      <w:bodyDiv w:val="1"/>
      <w:marLeft w:val="0"/>
      <w:marRight w:val="0"/>
      <w:marTop w:val="0"/>
      <w:marBottom w:val="0"/>
      <w:divBdr>
        <w:top w:val="none" w:sz="0" w:space="0" w:color="auto"/>
        <w:left w:val="none" w:sz="0" w:space="0" w:color="auto"/>
        <w:bottom w:val="none" w:sz="0" w:space="0" w:color="auto"/>
        <w:right w:val="none" w:sz="0" w:space="0" w:color="auto"/>
      </w:divBdr>
    </w:div>
    <w:div w:id="469830142">
      <w:bodyDiv w:val="1"/>
      <w:marLeft w:val="0"/>
      <w:marRight w:val="0"/>
      <w:marTop w:val="0"/>
      <w:marBottom w:val="0"/>
      <w:divBdr>
        <w:top w:val="none" w:sz="0" w:space="0" w:color="auto"/>
        <w:left w:val="none" w:sz="0" w:space="0" w:color="auto"/>
        <w:bottom w:val="none" w:sz="0" w:space="0" w:color="auto"/>
        <w:right w:val="none" w:sz="0" w:space="0" w:color="auto"/>
      </w:divBdr>
    </w:div>
    <w:div w:id="510218883">
      <w:bodyDiv w:val="1"/>
      <w:marLeft w:val="0"/>
      <w:marRight w:val="0"/>
      <w:marTop w:val="0"/>
      <w:marBottom w:val="0"/>
      <w:divBdr>
        <w:top w:val="none" w:sz="0" w:space="0" w:color="auto"/>
        <w:left w:val="none" w:sz="0" w:space="0" w:color="auto"/>
        <w:bottom w:val="none" w:sz="0" w:space="0" w:color="auto"/>
        <w:right w:val="none" w:sz="0" w:space="0" w:color="auto"/>
      </w:divBdr>
    </w:div>
    <w:div w:id="519779854">
      <w:bodyDiv w:val="1"/>
      <w:marLeft w:val="0"/>
      <w:marRight w:val="0"/>
      <w:marTop w:val="0"/>
      <w:marBottom w:val="0"/>
      <w:divBdr>
        <w:top w:val="none" w:sz="0" w:space="0" w:color="auto"/>
        <w:left w:val="none" w:sz="0" w:space="0" w:color="auto"/>
        <w:bottom w:val="none" w:sz="0" w:space="0" w:color="auto"/>
        <w:right w:val="none" w:sz="0" w:space="0" w:color="auto"/>
      </w:divBdr>
    </w:div>
    <w:div w:id="537209184">
      <w:bodyDiv w:val="1"/>
      <w:marLeft w:val="0"/>
      <w:marRight w:val="0"/>
      <w:marTop w:val="0"/>
      <w:marBottom w:val="0"/>
      <w:divBdr>
        <w:top w:val="none" w:sz="0" w:space="0" w:color="auto"/>
        <w:left w:val="none" w:sz="0" w:space="0" w:color="auto"/>
        <w:bottom w:val="none" w:sz="0" w:space="0" w:color="auto"/>
        <w:right w:val="none" w:sz="0" w:space="0" w:color="auto"/>
      </w:divBdr>
    </w:div>
    <w:div w:id="565720928">
      <w:bodyDiv w:val="1"/>
      <w:marLeft w:val="0"/>
      <w:marRight w:val="0"/>
      <w:marTop w:val="0"/>
      <w:marBottom w:val="0"/>
      <w:divBdr>
        <w:top w:val="none" w:sz="0" w:space="0" w:color="auto"/>
        <w:left w:val="none" w:sz="0" w:space="0" w:color="auto"/>
        <w:bottom w:val="none" w:sz="0" w:space="0" w:color="auto"/>
        <w:right w:val="none" w:sz="0" w:space="0" w:color="auto"/>
      </w:divBdr>
    </w:div>
    <w:div w:id="590624165">
      <w:bodyDiv w:val="1"/>
      <w:marLeft w:val="0"/>
      <w:marRight w:val="0"/>
      <w:marTop w:val="0"/>
      <w:marBottom w:val="0"/>
      <w:divBdr>
        <w:top w:val="none" w:sz="0" w:space="0" w:color="auto"/>
        <w:left w:val="none" w:sz="0" w:space="0" w:color="auto"/>
        <w:bottom w:val="none" w:sz="0" w:space="0" w:color="auto"/>
        <w:right w:val="none" w:sz="0" w:space="0" w:color="auto"/>
      </w:divBdr>
    </w:div>
    <w:div w:id="594096764">
      <w:bodyDiv w:val="1"/>
      <w:marLeft w:val="0"/>
      <w:marRight w:val="0"/>
      <w:marTop w:val="0"/>
      <w:marBottom w:val="0"/>
      <w:divBdr>
        <w:top w:val="none" w:sz="0" w:space="0" w:color="auto"/>
        <w:left w:val="none" w:sz="0" w:space="0" w:color="auto"/>
        <w:bottom w:val="none" w:sz="0" w:space="0" w:color="auto"/>
        <w:right w:val="none" w:sz="0" w:space="0" w:color="auto"/>
      </w:divBdr>
    </w:div>
    <w:div w:id="641084480">
      <w:bodyDiv w:val="1"/>
      <w:marLeft w:val="0"/>
      <w:marRight w:val="0"/>
      <w:marTop w:val="0"/>
      <w:marBottom w:val="0"/>
      <w:divBdr>
        <w:top w:val="none" w:sz="0" w:space="0" w:color="auto"/>
        <w:left w:val="none" w:sz="0" w:space="0" w:color="auto"/>
        <w:bottom w:val="none" w:sz="0" w:space="0" w:color="auto"/>
        <w:right w:val="none" w:sz="0" w:space="0" w:color="auto"/>
      </w:divBdr>
    </w:div>
    <w:div w:id="673996421">
      <w:bodyDiv w:val="1"/>
      <w:marLeft w:val="0"/>
      <w:marRight w:val="0"/>
      <w:marTop w:val="0"/>
      <w:marBottom w:val="0"/>
      <w:divBdr>
        <w:top w:val="none" w:sz="0" w:space="0" w:color="auto"/>
        <w:left w:val="none" w:sz="0" w:space="0" w:color="auto"/>
        <w:bottom w:val="none" w:sz="0" w:space="0" w:color="auto"/>
        <w:right w:val="none" w:sz="0" w:space="0" w:color="auto"/>
      </w:divBdr>
    </w:div>
    <w:div w:id="751196331">
      <w:bodyDiv w:val="1"/>
      <w:marLeft w:val="0"/>
      <w:marRight w:val="0"/>
      <w:marTop w:val="0"/>
      <w:marBottom w:val="0"/>
      <w:divBdr>
        <w:top w:val="none" w:sz="0" w:space="0" w:color="auto"/>
        <w:left w:val="none" w:sz="0" w:space="0" w:color="auto"/>
        <w:bottom w:val="none" w:sz="0" w:space="0" w:color="auto"/>
        <w:right w:val="none" w:sz="0" w:space="0" w:color="auto"/>
      </w:divBdr>
    </w:div>
    <w:div w:id="796681207">
      <w:bodyDiv w:val="1"/>
      <w:marLeft w:val="0"/>
      <w:marRight w:val="0"/>
      <w:marTop w:val="0"/>
      <w:marBottom w:val="0"/>
      <w:divBdr>
        <w:top w:val="none" w:sz="0" w:space="0" w:color="auto"/>
        <w:left w:val="none" w:sz="0" w:space="0" w:color="auto"/>
        <w:bottom w:val="none" w:sz="0" w:space="0" w:color="auto"/>
        <w:right w:val="none" w:sz="0" w:space="0" w:color="auto"/>
      </w:divBdr>
    </w:div>
    <w:div w:id="815416390">
      <w:bodyDiv w:val="1"/>
      <w:marLeft w:val="0"/>
      <w:marRight w:val="0"/>
      <w:marTop w:val="0"/>
      <w:marBottom w:val="0"/>
      <w:divBdr>
        <w:top w:val="none" w:sz="0" w:space="0" w:color="auto"/>
        <w:left w:val="none" w:sz="0" w:space="0" w:color="auto"/>
        <w:bottom w:val="none" w:sz="0" w:space="0" w:color="auto"/>
        <w:right w:val="none" w:sz="0" w:space="0" w:color="auto"/>
      </w:divBdr>
    </w:div>
    <w:div w:id="829294979">
      <w:bodyDiv w:val="1"/>
      <w:marLeft w:val="0"/>
      <w:marRight w:val="0"/>
      <w:marTop w:val="0"/>
      <w:marBottom w:val="0"/>
      <w:divBdr>
        <w:top w:val="none" w:sz="0" w:space="0" w:color="auto"/>
        <w:left w:val="none" w:sz="0" w:space="0" w:color="auto"/>
        <w:bottom w:val="none" w:sz="0" w:space="0" w:color="auto"/>
        <w:right w:val="none" w:sz="0" w:space="0" w:color="auto"/>
      </w:divBdr>
    </w:div>
    <w:div w:id="835733308">
      <w:bodyDiv w:val="1"/>
      <w:marLeft w:val="0"/>
      <w:marRight w:val="0"/>
      <w:marTop w:val="0"/>
      <w:marBottom w:val="0"/>
      <w:divBdr>
        <w:top w:val="none" w:sz="0" w:space="0" w:color="auto"/>
        <w:left w:val="none" w:sz="0" w:space="0" w:color="auto"/>
        <w:bottom w:val="none" w:sz="0" w:space="0" w:color="auto"/>
        <w:right w:val="none" w:sz="0" w:space="0" w:color="auto"/>
      </w:divBdr>
    </w:div>
    <w:div w:id="857475103">
      <w:bodyDiv w:val="1"/>
      <w:marLeft w:val="0"/>
      <w:marRight w:val="0"/>
      <w:marTop w:val="0"/>
      <w:marBottom w:val="0"/>
      <w:divBdr>
        <w:top w:val="none" w:sz="0" w:space="0" w:color="auto"/>
        <w:left w:val="none" w:sz="0" w:space="0" w:color="auto"/>
        <w:bottom w:val="none" w:sz="0" w:space="0" w:color="auto"/>
        <w:right w:val="none" w:sz="0" w:space="0" w:color="auto"/>
      </w:divBdr>
    </w:div>
    <w:div w:id="865100792">
      <w:bodyDiv w:val="1"/>
      <w:marLeft w:val="0"/>
      <w:marRight w:val="0"/>
      <w:marTop w:val="0"/>
      <w:marBottom w:val="0"/>
      <w:divBdr>
        <w:top w:val="none" w:sz="0" w:space="0" w:color="auto"/>
        <w:left w:val="none" w:sz="0" w:space="0" w:color="auto"/>
        <w:bottom w:val="none" w:sz="0" w:space="0" w:color="auto"/>
        <w:right w:val="none" w:sz="0" w:space="0" w:color="auto"/>
      </w:divBdr>
    </w:div>
    <w:div w:id="943194444">
      <w:bodyDiv w:val="1"/>
      <w:marLeft w:val="0"/>
      <w:marRight w:val="0"/>
      <w:marTop w:val="0"/>
      <w:marBottom w:val="0"/>
      <w:divBdr>
        <w:top w:val="none" w:sz="0" w:space="0" w:color="auto"/>
        <w:left w:val="none" w:sz="0" w:space="0" w:color="auto"/>
        <w:bottom w:val="none" w:sz="0" w:space="0" w:color="auto"/>
        <w:right w:val="none" w:sz="0" w:space="0" w:color="auto"/>
      </w:divBdr>
    </w:div>
    <w:div w:id="948780872">
      <w:bodyDiv w:val="1"/>
      <w:marLeft w:val="0"/>
      <w:marRight w:val="0"/>
      <w:marTop w:val="0"/>
      <w:marBottom w:val="0"/>
      <w:divBdr>
        <w:top w:val="none" w:sz="0" w:space="0" w:color="auto"/>
        <w:left w:val="none" w:sz="0" w:space="0" w:color="auto"/>
        <w:bottom w:val="none" w:sz="0" w:space="0" w:color="auto"/>
        <w:right w:val="none" w:sz="0" w:space="0" w:color="auto"/>
      </w:divBdr>
    </w:div>
    <w:div w:id="964891637">
      <w:bodyDiv w:val="1"/>
      <w:marLeft w:val="0"/>
      <w:marRight w:val="0"/>
      <w:marTop w:val="0"/>
      <w:marBottom w:val="0"/>
      <w:divBdr>
        <w:top w:val="none" w:sz="0" w:space="0" w:color="auto"/>
        <w:left w:val="none" w:sz="0" w:space="0" w:color="auto"/>
        <w:bottom w:val="none" w:sz="0" w:space="0" w:color="auto"/>
        <w:right w:val="none" w:sz="0" w:space="0" w:color="auto"/>
      </w:divBdr>
    </w:div>
    <w:div w:id="984816677">
      <w:bodyDiv w:val="1"/>
      <w:marLeft w:val="0"/>
      <w:marRight w:val="0"/>
      <w:marTop w:val="0"/>
      <w:marBottom w:val="0"/>
      <w:divBdr>
        <w:top w:val="none" w:sz="0" w:space="0" w:color="auto"/>
        <w:left w:val="none" w:sz="0" w:space="0" w:color="auto"/>
        <w:bottom w:val="none" w:sz="0" w:space="0" w:color="auto"/>
        <w:right w:val="none" w:sz="0" w:space="0" w:color="auto"/>
      </w:divBdr>
    </w:div>
    <w:div w:id="991063552">
      <w:bodyDiv w:val="1"/>
      <w:marLeft w:val="0"/>
      <w:marRight w:val="0"/>
      <w:marTop w:val="0"/>
      <w:marBottom w:val="0"/>
      <w:divBdr>
        <w:top w:val="none" w:sz="0" w:space="0" w:color="auto"/>
        <w:left w:val="none" w:sz="0" w:space="0" w:color="auto"/>
        <w:bottom w:val="none" w:sz="0" w:space="0" w:color="auto"/>
        <w:right w:val="none" w:sz="0" w:space="0" w:color="auto"/>
      </w:divBdr>
    </w:div>
    <w:div w:id="1024940128">
      <w:bodyDiv w:val="1"/>
      <w:marLeft w:val="0"/>
      <w:marRight w:val="0"/>
      <w:marTop w:val="0"/>
      <w:marBottom w:val="0"/>
      <w:divBdr>
        <w:top w:val="none" w:sz="0" w:space="0" w:color="auto"/>
        <w:left w:val="none" w:sz="0" w:space="0" w:color="auto"/>
        <w:bottom w:val="none" w:sz="0" w:space="0" w:color="auto"/>
        <w:right w:val="none" w:sz="0" w:space="0" w:color="auto"/>
      </w:divBdr>
    </w:div>
    <w:div w:id="1109081303">
      <w:bodyDiv w:val="1"/>
      <w:marLeft w:val="0"/>
      <w:marRight w:val="0"/>
      <w:marTop w:val="0"/>
      <w:marBottom w:val="0"/>
      <w:divBdr>
        <w:top w:val="none" w:sz="0" w:space="0" w:color="auto"/>
        <w:left w:val="none" w:sz="0" w:space="0" w:color="auto"/>
        <w:bottom w:val="none" w:sz="0" w:space="0" w:color="auto"/>
        <w:right w:val="none" w:sz="0" w:space="0" w:color="auto"/>
      </w:divBdr>
    </w:div>
    <w:div w:id="1164127944">
      <w:bodyDiv w:val="1"/>
      <w:marLeft w:val="0"/>
      <w:marRight w:val="0"/>
      <w:marTop w:val="0"/>
      <w:marBottom w:val="0"/>
      <w:divBdr>
        <w:top w:val="none" w:sz="0" w:space="0" w:color="auto"/>
        <w:left w:val="none" w:sz="0" w:space="0" w:color="auto"/>
        <w:bottom w:val="none" w:sz="0" w:space="0" w:color="auto"/>
        <w:right w:val="none" w:sz="0" w:space="0" w:color="auto"/>
      </w:divBdr>
    </w:div>
    <w:div w:id="1179584007">
      <w:bodyDiv w:val="1"/>
      <w:marLeft w:val="0"/>
      <w:marRight w:val="0"/>
      <w:marTop w:val="0"/>
      <w:marBottom w:val="0"/>
      <w:divBdr>
        <w:top w:val="none" w:sz="0" w:space="0" w:color="auto"/>
        <w:left w:val="none" w:sz="0" w:space="0" w:color="auto"/>
        <w:bottom w:val="none" w:sz="0" w:space="0" w:color="auto"/>
        <w:right w:val="none" w:sz="0" w:space="0" w:color="auto"/>
      </w:divBdr>
    </w:div>
    <w:div w:id="1197425582">
      <w:bodyDiv w:val="1"/>
      <w:marLeft w:val="0"/>
      <w:marRight w:val="0"/>
      <w:marTop w:val="0"/>
      <w:marBottom w:val="0"/>
      <w:divBdr>
        <w:top w:val="none" w:sz="0" w:space="0" w:color="auto"/>
        <w:left w:val="none" w:sz="0" w:space="0" w:color="auto"/>
        <w:bottom w:val="none" w:sz="0" w:space="0" w:color="auto"/>
        <w:right w:val="none" w:sz="0" w:space="0" w:color="auto"/>
      </w:divBdr>
    </w:div>
    <w:div w:id="1229923072">
      <w:bodyDiv w:val="1"/>
      <w:marLeft w:val="0"/>
      <w:marRight w:val="0"/>
      <w:marTop w:val="0"/>
      <w:marBottom w:val="0"/>
      <w:divBdr>
        <w:top w:val="none" w:sz="0" w:space="0" w:color="auto"/>
        <w:left w:val="none" w:sz="0" w:space="0" w:color="auto"/>
        <w:bottom w:val="none" w:sz="0" w:space="0" w:color="auto"/>
        <w:right w:val="none" w:sz="0" w:space="0" w:color="auto"/>
      </w:divBdr>
    </w:div>
    <w:div w:id="1303123232">
      <w:bodyDiv w:val="1"/>
      <w:marLeft w:val="0"/>
      <w:marRight w:val="0"/>
      <w:marTop w:val="0"/>
      <w:marBottom w:val="0"/>
      <w:divBdr>
        <w:top w:val="none" w:sz="0" w:space="0" w:color="auto"/>
        <w:left w:val="none" w:sz="0" w:space="0" w:color="auto"/>
        <w:bottom w:val="none" w:sz="0" w:space="0" w:color="auto"/>
        <w:right w:val="none" w:sz="0" w:space="0" w:color="auto"/>
      </w:divBdr>
    </w:div>
    <w:div w:id="1331983371">
      <w:bodyDiv w:val="1"/>
      <w:marLeft w:val="0"/>
      <w:marRight w:val="0"/>
      <w:marTop w:val="0"/>
      <w:marBottom w:val="0"/>
      <w:divBdr>
        <w:top w:val="none" w:sz="0" w:space="0" w:color="auto"/>
        <w:left w:val="none" w:sz="0" w:space="0" w:color="auto"/>
        <w:bottom w:val="none" w:sz="0" w:space="0" w:color="auto"/>
        <w:right w:val="none" w:sz="0" w:space="0" w:color="auto"/>
      </w:divBdr>
    </w:div>
    <w:div w:id="1342511916">
      <w:bodyDiv w:val="1"/>
      <w:marLeft w:val="0"/>
      <w:marRight w:val="0"/>
      <w:marTop w:val="0"/>
      <w:marBottom w:val="0"/>
      <w:divBdr>
        <w:top w:val="none" w:sz="0" w:space="0" w:color="auto"/>
        <w:left w:val="none" w:sz="0" w:space="0" w:color="auto"/>
        <w:bottom w:val="none" w:sz="0" w:space="0" w:color="auto"/>
        <w:right w:val="none" w:sz="0" w:space="0" w:color="auto"/>
      </w:divBdr>
      <w:divsChild>
        <w:div w:id="1626157985">
          <w:marLeft w:val="0"/>
          <w:marRight w:val="0"/>
          <w:marTop w:val="0"/>
          <w:marBottom w:val="0"/>
          <w:divBdr>
            <w:top w:val="none" w:sz="0" w:space="0" w:color="auto"/>
            <w:left w:val="none" w:sz="0" w:space="0" w:color="auto"/>
            <w:bottom w:val="none" w:sz="0" w:space="0" w:color="auto"/>
            <w:right w:val="none" w:sz="0" w:space="0" w:color="auto"/>
          </w:divBdr>
          <w:divsChild>
            <w:div w:id="109324016">
              <w:marLeft w:val="0"/>
              <w:marRight w:val="0"/>
              <w:marTop w:val="0"/>
              <w:marBottom w:val="0"/>
              <w:divBdr>
                <w:top w:val="none" w:sz="0" w:space="0" w:color="auto"/>
                <w:left w:val="none" w:sz="0" w:space="0" w:color="auto"/>
                <w:bottom w:val="none" w:sz="0" w:space="0" w:color="auto"/>
                <w:right w:val="none" w:sz="0" w:space="0" w:color="auto"/>
              </w:divBdr>
              <w:divsChild>
                <w:div w:id="2083094140">
                  <w:marLeft w:val="0"/>
                  <w:marRight w:val="0"/>
                  <w:marTop w:val="0"/>
                  <w:marBottom w:val="0"/>
                  <w:divBdr>
                    <w:top w:val="none" w:sz="0" w:space="0" w:color="auto"/>
                    <w:left w:val="none" w:sz="0" w:space="0" w:color="auto"/>
                    <w:bottom w:val="none" w:sz="0" w:space="0" w:color="auto"/>
                    <w:right w:val="none" w:sz="0" w:space="0" w:color="auto"/>
                  </w:divBdr>
                  <w:divsChild>
                    <w:div w:id="1984652075">
                      <w:marLeft w:val="225"/>
                      <w:marRight w:val="0"/>
                      <w:marTop w:val="300"/>
                      <w:marBottom w:val="300"/>
                      <w:divBdr>
                        <w:top w:val="none" w:sz="0" w:space="0" w:color="auto"/>
                        <w:left w:val="none" w:sz="0" w:space="0" w:color="auto"/>
                        <w:bottom w:val="none" w:sz="0" w:space="0" w:color="auto"/>
                        <w:right w:val="none" w:sz="0" w:space="0" w:color="auto"/>
                      </w:divBdr>
                      <w:divsChild>
                        <w:div w:id="1838306963">
                          <w:marLeft w:val="0"/>
                          <w:marRight w:val="0"/>
                          <w:marTop w:val="0"/>
                          <w:marBottom w:val="0"/>
                          <w:divBdr>
                            <w:top w:val="none" w:sz="0" w:space="0" w:color="auto"/>
                            <w:left w:val="none" w:sz="0" w:space="0" w:color="auto"/>
                            <w:bottom w:val="none" w:sz="0" w:space="0" w:color="auto"/>
                            <w:right w:val="none" w:sz="0" w:space="0" w:color="auto"/>
                          </w:divBdr>
                          <w:divsChild>
                            <w:div w:id="5840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494090">
      <w:bodyDiv w:val="1"/>
      <w:marLeft w:val="0"/>
      <w:marRight w:val="0"/>
      <w:marTop w:val="0"/>
      <w:marBottom w:val="0"/>
      <w:divBdr>
        <w:top w:val="none" w:sz="0" w:space="0" w:color="auto"/>
        <w:left w:val="none" w:sz="0" w:space="0" w:color="auto"/>
        <w:bottom w:val="none" w:sz="0" w:space="0" w:color="auto"/>
        <w:right w:val="none" w:sz="0" w:space="0" w:color="auto"/>
      </w:divBdr>
    </w:div>
    <w:div w:id="1474717937">
      <w:bodyDiv w:val="1"/>
      <w:marLeft w:val="0"/>
      <w:marRight w:val="0"/>
      <w:marTop w:val="0"/>
      <w:marBottom w:val="0"/>
      <w:divBdr>
        <w:top w:val="none" w:sz="0" w:space="0" w:color="auto"/>
        <w:left w:val="none" w:sz="0" w:space="0" w:color="auto"/>
        <w:bottom w:val="none" w:sz="0" w:space="0" w:color="auto"/>
        <w:right w:val="none" w:sz="0" w:space="0" w:color="auto"/>
      </w:divBdr>
    </w:div>
    <w:div w:id="1500732496">
      <w:bodyDiv w:val="1"/>
      <w:marLeft w:val="0"/>
      <w:marRight w:val="0"/>
      <w:marTop w:val="0"/>
      <w:marBottom w:val="0"/>
      <w:divBdr>
        <w:top w:val="none" w:sz="0" w:space="0" w:color="auto"/>
        <w:left w:val="none" w:sz="0" w:space="0" w:color="auto"/>
        <w:bottom w:val="none" w:sz="0" w:space="0" w:color="auto"/>
        <w:right w:val="none" w:sz="0" w:space="0" w:color="auto"/>
      </w:divBdr>
    </w:div>
    <w:div w:id="1521746049">
      <w:bodyDiv w:val="1"/>
      <w:marLeft w:val="0"/>
      <w:marRight w:val="0"/>
      <w:marTop w:val="0"/>
      <w:marBottom w:val="0"/>
      <w:divBdr>
        <w:top w:val="none" w:sz="0" w:space="0" w:color="auto"/>
        <w:left w:val="none" w:sz="0" w:space="0" w:color="auto"/>
        <w:bottom w:val="none" w:sz="0" w:space="0" w:color="auto"/>
        <w:right w:val="none" w:sz="0" w:space="0" w:color="auto"/>
      </w:divBdr>
    </w:div>
    <w:div w:id="1522433774">
      <w:bodyDiv w:val="1"/>
      <w:marLeft w:val="0"/>
      <w:marRight w:val="0"/>
      <w:marTop w:val="0"/>
      <w:marBottom w:val="0"/>
      <w:divBdr>
        <w:top w:val="none" w:sz="0" w:space="0" w:color="auto"/>
        <w:left w:val="none" w:sz="0" w:space="0" w:color="auto"/>
        <w:bottom w:val="none" w:sz="0" w:space="0" w:color="auto"/>
        <w:right w:val="none" w:sz="0" w:space="0" w:color="auto"/>
      </w:divBdr>
    </w:div>
    <w:div w:id="1561792838">
      <w:bodyDiv w:val="1"/>
      <w:marLeft w:val="0"/>
      <w:marRight w:val="0"/>
      <w:marTop w:val="0"/>
      <w:marBottom w:val="0"/>
      <w:divBdr>
        <w:top w:val="none" w:sz="0" w:space="0" w:color="auto"/>
        <w:left w:val="none" w:sz="0" w:space="0" w:color="auto"/>
        <w:bottom w:val="none" w:sz="0" w:space="0" w:color="auto"/>
        <w:right w:val="none" w:sz="0" w:space="0" w:color="auto"/>
      </w:divBdr>
    </w:div>
    <w:div w:id="1664359200">
      <w:bodyDiv w:val="1"/>
      <w:marLeft w:val="0"/>
      <w:marRight w:val="0"/>
      <w:marTop w:val="0"/>
      <w:marBottom w:val="0"/>
      <w:divBdr>
        <w:top w:val="none" w:sz="0" w:space="0" w:color="auto"/>
        <w:left w:val="none" w:sz="0" w:space="0" w:color="auto"/>
        <w:bottom w:val="none" w:sz="0" w:space="0" w:color="auto"/>
        <w:right w:val="none" w:sz="0" w:space="0" w:color="auto"/>
      </w:divBdr>
    </w:div>
    <w:div w:id="1709260162">
      <w:bodyDiv w:val="1"/>
      <w:marLeft w:val="0"/>
      <w:marRight w:val="0"/>
      <w:marTop w:val="0"/>
      <w:marBottom w:val="0"/>
      <w:divBdr>
        <w:top w:val="none" w:sz="0" w:space="0" w:color="auto"/>
        <w:left w:val="none" w:sz="0" w:space="0" w:color="auto"/>
        <w:bottom w:val="none" w:sz="0" w:space="0" w:color="auto"/>
        <w:right w:val="none" w:sz="0" w:space="0" w:color="auto"/>
      </w:divBdr>
    </w:div>
    <w:div w:id="1734232787">
      <w:bodyDiv w:val="1"/>
      <w:marLeft w:val="0"/>
      <w:marRight w:val="0"/>
      <w:marTop w:val="0"/>
      <w:marBottom w:val="0"/>
      <w:divBdr>
        <w:top w:val="none" w:sz="0" w:space="0" w:color="auto"/>
        <w:left w:val="none" w:sz="0" w:space="0" w:color="auto"/>
        <w:bottom w:val="none" w:sz="0" w:space="0" w:color="auto"/>
        <w:right w:val="none" w:sz="0" w:space="0" w:color="auto"/>
      </w:divBdr>
    </w:div>
    <w:div w:id="1739862193">
      <w:bodyDiv w:val="1"/>
      <w:marLeft w:val="0"/>
      <w:marRight w:val="0"/>
      <w:marTop w:val="0"/>
      <w:marBottom w:val="0"/>
      <w:divBdr>
        <w:top w:val="none" w:sz="0" w:space="0" w:color="auto"/>
        <w:left w:val="none" w:sz="0" w:space="0" w:color="auto"/>
        <w:bottom w:val="none" w:sz="0" w:space="0" w:color="auto"/>
        <w:right w:val="none" w:sz="0" w:space="0" w:color="auto"/>
      </w:divBdr>
    </w:div>
    <w:div w:id="1745104047">
      <w:bodyDiv w:val="1"/>
      <w:marLeft w:val="0"/>
      <w:marRight w:val="0"/>
      <w:marTop w:val="0"/>
      <w:marBottom w:val="0"/>
      <w:divBdr>
        <w:top w:val="none" w:sz="0" w:space="0" w:color="auto"/>
        <w:left w:val="none" w:sz="0" w:space="0" w:color="auto"/>
        <w:bottom w:val="none" w:sz="0" w:space="0" w:color="auto"/>
        <w:right w:val="none" w:sz="0" w:space="0" w:color="auto"/>
      </w:divBdr>
    </w:div>
    <w:div w:id="1775130993">
      <w:bodyDiv w:val="1"/>
      <w:marLeft w:val="0"/>
      <w:marRight w:val="0"/>
      <w:marTop w:val="0"/>
      <w:marBottom w:val="0"/>
      <w:divBdr>
        <w:top w:val="none" w:sz="0" w:space="0" w:color="auto"/>
        <w:left w:val="none" w:sz="0" w:space="0" w:color="auto"/>
        <w:bottom w:val="none" w:sz="0" w:space="0" w:color="auto"/>
        <w:right w:val="none" w:sz="0" w:space="0" w:color="auto"/>
      </w:divBdr>
    </w:div>
    <w:div w:id="1800563355">
      <w:bodyDiv w:val="1"/>
      <w:marLeft w:val="0"/>
      <w:marRight w:val="0"/>
      <w:marTop w:val="0"/>
      <w:marBottom w:val="0"/>
      <w:divBdr>
        <w:top w:val="none" w:sz="0" w:space="0" w:color="auto"/>
        <w:left w:val="none" w:sz="0" w:space="0" w:color="auto"/>
        <w:bottom w:val="none" w:sz="0" w:space="0" w:color="auto"/>
        <w:right w:val="none" w:sz="0" w:space="0" w:color="auto"/>
      </w:divBdr>
    </w:div>
    <w:div w:id="1860508700">
      <w:bodyDiv w:val="1"/>
      <w:marLeft w:val="0"/>
      <w:marRight w:val="0"/>
      <w:marTop w:val="0"/>
      <w:marBottom w:val="0"/>
      <w:divBdr>
        <w:top w:val="none" w:sz="0" w:space="0" w:color="auto"/>
        <w:left w:val="none" w:sz="0" w:space="0" w:color="auto"/>
        <w:bottom w:val="none" w:sz="0" w:space="0" w:color="auto"/>
        <w:right w:val="none" w:sz="0" w:space="0" w:color="auto"/>
      </w:divBdr>
    </w:div>
    <w:div w:id="1887177750">
      <w:bodyDiv w:val="1"/>
      <w:marLeft w:val="0"/>
      <w:marRight w:val="0"/>
      <w:marTop w:val="0"/>
      <w:marBottom w:val="0"/>
      <w:divBdr>
        <w:top w:val="none" w:sz="0" w:space="0" w:color="auto"/>
        <w:left w:val="none" w:sz="0" w:space="0" w:color="auto"/>
        <w:bottom w:val="none" w:sz="0" w:space="0" w:color="auto"/>
        <w:right w:val="none" w:sz="0" w:space="0" w:color="auto"/>
      </w:divBdr>
    </w:div>
    <w:div w:id="1895310830">
      <w:bodyDiv w:val="1"/>
      <w:marLeft w:val="0"/>
      <w:marRight w:val="0"/>
      <w:marTop w:val="0"/>
      <w:marBottom w:val="0"/>
      <w:divBdr>
        <w:top w:val="none" w:sz="0" w:space="0" w:color="auto"/>
        <w:left w:val="none" w:sz="0" w:space="0" w:color="auto"/>
        <w:bottom w:val="none" w:sz="0" w:space="0" w:color="auto"/>
        <w:right w:val="none" w:sz="0" w:space="0" w:color="auto"/>
      </w:divBdr>
    </w:div>
    <w:div w:id="1925844146">
      <w:bodyDiv w:val="1"/>
      <w:marLeft w:val="0"/>
      <w:marRight w:val="0"/>
      <w:marTop w:val="0"/>
      <w:marBottom w:val="0"/>
      <w:divBdr>
        <w:top w:val="none" w:sz="0" w:space="0" w:color="auto"/>
        <w:left w:val="none" w:sz="0" w:space="0" w:color="auto"/>
        <w:bottom w:val="none" w:sz="0" w:space="0" w:color="auto"/>
        <w:right w:val="none" w:sz="0" w:space="0" w:color="auto"/>
      </w:divBdr>
    </w:div>
    <w:div w:id="1955862642">
      <w:bodyDiv w:val="1"/>
      <w:marLeft w:val="0"/>
      <w:marRight w:val="0"/>
      <w:marTop w:val="0"/>
      <w:marBottom w:val="0"/>
      <w:divBdr>
        <w:top w:val="none" w:sz="0" w:space="0" w:color="auto"/>
        <w:left w:val="none" w:sz="0" w:space="0" w:color="auto"/>
        <w:bottom w:val="none" w:sz="0" w:space="0" w:color="auto"/>
        <w:right w:val="none" w:sz="0" w:space="0" w:color="auto"/>
      </w:divBdr>
    </w:div>
    <w:div w:id="1989826261">
      <w:bodyDiv w:val="1"/>
      <w:marLeft w:val="0"/>
      <w:marRight w:val="0"/>
      <w:marTop w:val="0"/>
      <w:marBottom w:val="0"/>
      <w:divBdr>
        <w:top w:val="none" w:sz="0" w:space="0" w:color="auto"/>
        <w:left w:val="none" w:sz="0" w:space="0" w:color="auto"/>
        <w:bottom w:val="none" w:sz="0" w:space="0" w:color="auto"/>
        <w:right w:val="none" w:sz="0" w:space="0" w:color="auto"/>
      </w:divBdr>
    </w:div>
    <w:div w:id="2092390527">
      <w:bodyDiv w:val="1"/>
      <w:marLeft w:val="0"/>
      <w:marRight w:val="0"/>
      <w:marTop w:val="0"/>
      <w:marBottom w:val="0"/>
      <w:divBdr>
        <w:top w:val="none" w:sz="0" w:space="0" w:color="auto"/>
        <w:left w:val="none" w:sz="0" w:space="0" w:color="auto"/>
        <w:bottom w:val="none" w:sz="0" w:space="0" w:color="auto"/>
        <w:right w:val="none" w:sz="0" w:space="0" w:color="auto"/>
      </w:divBdr>
    </w:div>
    <w:div w:id="2095514387">
      <w:bodyDiv w:val="1"/>
      <w:marLeft w:val="0"/>
      <w:marRight w:val="0"/>
      <w:marTop w:val="0"/>
      <w:marBottom w:val="0"/>
      <w:divBdr>
        <w:top w:val="none" w:sz="0" w:space="0" w:color="auto"/>
        <w:left w:val="none" w:sz="0" w:space="0" w:color="auto"/>
        <w:bottom w:val="none" w:sz="0" w:space="0" w:color="auto"/>
        <w:right w:val="none" w:sz="0" w:space="0" w:color="auto"/>
      </w:divBdr>
    </w:div>
    <w:div w:id="20963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67ABC-87A6-4587-9B6D-4AF99F26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2116</Words>
  <Characters>12489</Characters>
  <Application>Microsoft Office Word</Application>
  <DocSecurity>4</DocSecurity>
  <Lines>892</Lines>
  <Paragraphs>584</Paragraphs>
  <ScaleCrop>false</ScaleCrop>
  <HeadingPairs>
    <vt:vector size="2" baseType="variant">
      <vt:variant>
        <vt:lpstr>Titel</vt:lpstr>
      </vt:variant>
      <vt:variant>
        <vt:i4>1</vt:i4>
      </vt:variant>
    </vt:vector>
  </HeadingPairs>
  <TitlesOfParts>
    <vt:vector size="1" baseType="lpstr">
      <vt:lpstr/>
    </vt:vector>
  </TitlesOfParts>
  <Company>Brøndby Kommune</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Pilgaard</dc:creator>
  <cp:lastModifiedBy>Jacob Thejlman Bruun</cp:lastModifiedBy>
  <cp:revision>2</cp:revision>
  <cp:lastPrinted>2018-01-17T08:58:00Z</cp:lastPrinted>
  <dcterms:created xsi:type="dcterms:W3CDTF">2020-08-27T12:40:00Z</dcterms:created>
  <dcterms:modified xsi:type="dcterms:W3CDTF">2020-08-27T12:40:00Z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etadataId">
    <vt:lpwstr>23000293020-218133603090627</vt:lpwstr>
  </property>
  <property fmtid="{D5CDD505-2E9C-101B-9397-08002B2CF9AE}" pid="3" name="DocumentNumber">
    <vt:lpwstr>D2020-251077</vt:lpwstr>
  </property>
  <property fmtid="{D5CDD505-2E9C-101B-9397-08002B2CF9AE}" pid="4" name="DocumentContentId">
    <vt:lpwstr>E550DD23290540D084AFF92F6A4AADD9</vt:lpwstr>
  </property>
  <property fmtid="{D5CDD505-2E9C-101B-9397-08002B2CF9AE}" pid="5" name="DocumentReadOnly">
    <vt:lpwstr>True</vt:lpwstr>
  </property>
  <property fmtid="{D5CDD505-2E9C-101B-9397-08002B2CF9AE}" pid="6" name="IsNovaDocument">
    <vt:lpwstr>True</vt:lpwstr>
  </property>
</Properties>
</file>